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B3472B2">
      <w:pPr>
        <w:pStyle w:val="74"/>
        <w:spacing w:before="360" w:beforeLines="0"/>
        <w:ind w:right="840" w:right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mbookmark_301biaozhunwenjian"/>
      <w:bookmarkStart w:id="1" w:name="mbookmark0"/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page">
                  <wp:posOffset>3924300</wp:posOffset>
                </wp:positionH>
                <wp:positionV relativeFrom="page">
                  <wp:posOffset>8869680</wp:posOffset>
                </wp:positionV>
                <wp:extent cx="3095625" cy="398145"/>
                <wp:effectExtent l="0" t="0" r="0" b="0"/>
                <wp:wrapNone/>
                <wp:docPr id="6" name="_x0000_s1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4CE073">
                            <w:pPr>
                              <w:wordWrap w:val="0"/>
                              <w:adjustRightInd/>
                              <w:spacing w:before="120" w:beforeLines="50" w:line="240" w:lineRule="auto"/>
                              <w:jc w:val="right"/>
                              <w:rPr>
                                <w:rStyle w:val="54"/>
                                <w:spacing w:val="2"/>
                                <w:kern w:val="0"/>
                                <w:szCs w:val="42"/>
                              </w:rPr>
                            </w:pPr>
                            <w:r>
                              <w:rPr>
                                <w:rStyle w:val="54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  <w:t xml:space="preserve">XXXX–XX–XX 实施   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147" o:spid="_x0000_s1026" o:spt="202" type="#_x0000_t202" style="position:absolute;left:0pt;margin-left:309pt;margin-top:698.4pt;height:31.35pt;width:243.75pt;mso-position-horizontal-relative:page;mso-position-vertical-relative:page;z-index:251665408;mso-width-relative:page;mso-height-relative:page;" filled="f" stroked="f" coordsize="21600,21600" o:gfxdata="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xugzv9kA&#10;AAAOAQAADwAAAAAAAAABACAAAAAiAAAAZHJzL2Rvd25yZXYueG1sUEsBAhQAFAAAAAgAh07iQIJw&#10;n0SsAQAAXQMAAA4AAAAAAAAAAQAgAAAAKA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E4CE073">
                      <w:pPr>
                        <w:wordWrap w:val="0"/>
                        <w:adjustRightInd/>
                        <w:spacing w:before="120" w:beforeLines="50" w:line="240" w:lineRule="auto"/>
                        <w:jc w:val="right"/>
                        <w:rPr>
                          <w:rStyle w:val="54"/>
                          <w:spacing w:val="2"/>
                          <w:kern w:val="0"/>
                          <w:szCs w:val="42"/>
                        </w:rPr>
                      </w:pPr>
                      <w:r>
                        <w:rPr>
                          <w:rStyle w:val="54"/>
                          <w:rFonts w:hint="eastAsia"/>
                          <w:spacing w:val="2"/>
                          <w:kern w:val="0"/>
                          <w:szCs w:val="42"/>
                        </w:rPr>
                        <w:t xml:space="preserve">XXXX–XX–XX 实施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71345" cy="737870"/>
            <wp:effectExtent l="0" t="0" r="8255" b="1143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7134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925B795">
      <w:pPr>
        <w:pStyle w:val="74"/>
        <w:spacing w:before="360" w:beforeLines="0"/>
        <w:ind w:right="0" w:rightChars="0"/>
        <w:jc w:val="center"/>
        <w:rPr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Style w:val="69"/>
          <w:rFonts w:hint="eastAsia"/>
          <w:b w:val="0"/>
          <w:bCs w:val="0"/>
          <w:smallCaps w:val="0"/>
          <w:color w:val="000000" w:themeColor="text1"/>
          <w:w w:val="120"/>
          <w:sz w:val="52"/>
          <w:szCs w:val="52"/>
          <w14:textFill>
            <w14:solidFill>
              <w14:schemeClr w14:val="tx1"/>
            </w14:solidFill>
          </w14:textFill>
        </w:rPr>
        <w:t>中华人民共和国国家</w:t>
      </w:r>
      <w:r>
        <w:rPr>
          <w:rStyle w:val="69"/>
          <w:b w:val="0"/>
          <w:bCs w:val="0"/>
          <w:smallCaps w:val="0"/>
          <w:color w:val="000000" w:themeColor="text1"/>
          <w:w w:val="120"/>
          <w:sz w:val="52"/>
          <w:szCs w:val="52"/>
          <w14:textFill>
            <w14:solidFill>
              <w14:schemeClr w14:val="tx1"/>
            </w14:solidFill>
          </w14:textFill>
        </w:rPr>
        <w:t>计量技术规范</w:t>
      </w:r>
    </w:p>
    <w:p w14:paraId="3D775730">
      <w:pPr>
        <w:pStyle w:val="74"/>
        <w:spacing w:before="240" w:beforeLines="100"/>
        <w:ind w:right="840" w:rightChars="400"/>
        <w:rPr>
          <w:rStyle w:val="52"/>
          <w:rFonts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5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JJF  XXXX－XXXX</w:t>
      </w:r>
    </w:p>
    <w:p w14:paraId="19EF2B83">
      <w:pPr>
        <w:pStyle w:val="75"/>
        <w:adjustRightInd w:val="0"/>
        <w:snapToGrid w:val="0"/>
        <w:ind w:firstLine="420" w:firstLineChars="0"/>
        <w:rPr>
          <w:color w:val="000000" w:themeColor="text1"/>
          <w:sz w:val="36"/>
          <w:szCs w:val="42"/>
          <w14:textFill>
            <w14:solidFill>
              <w14:schemeClr w14:val="tx1"/>
            </w14:solidFill>
          </w14:textFill>
        </w:rPr>
      </w:pPr>
    </w:p>
    <w:p w14:paraId="68C5146C">
      <w:pPr>
        <w:pStyle w:val="75"/>
        <w:ind w:firstLine="480"/>
        <w:rPr>
          <w:b/>
          <w:color w:val="000000" w:themeColor="text1"/>
          <w14:textFill>
            <w14:solidFill>
              <w14:schemeClr w14:val="tx1"/>
            </w14:solidFill>
          </w14:textFill>
        </w:rPr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567" w:right="849" w:bottom="1134" w:left="1418" w:header="0" w:footer="0" w:gutter="0"/>
          <w:pgNumType w:fmt="upperRoman" w:start="0"/>
          <w:cols w:space="720" w:num="1"/>
          <w:titlePg/>
          <w:docGrid w:linePitch="312" w:charSpace="0"/>
        </w:sect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pict>
          <v:shape id="_x0000_s1101" o:spid="_x0000_s1101" o:spt="75" type="#_x0000_t75" style="position:absolute;left:0pt;margin-left:70.85pt;margin-top:216pt;height:1.5pt;width:483.75pt;mso-position-horizontal-relative:page;mso-position-vertical-relative:page;mso-wrap-distance-bottom:0pt;mso-wrap-distance-left:9.05pt;mso-wrap-distance-right:9.05pt;mso-wrap-distance-top:0pt;z-index:251661312;mso-width-relative:page;mso-height-relative:page;" o:ole="t" filled="f" o:preferrelative="t" stroked="f" coordsize="21600,21600" o:allowincell="f">
            <v:path/>
            <v:fill on="f" focussize="0,0"/>
            <v:stroke on="f" joinstyle="miter"/>
            <v:imagedata r:id="rId22" o:title=""/>
            <o:lock v:ext="edit" aspectratio="t"/>
            <w10:wrap type="square"/>
            <w10:anchorlock/>
          </v:shape>
          <o:OLEObject Type="Embed" ProgID="Word.Picture.8" ShapeID="_x0000_s1101" DrawAspect="Content" ObjectID="_1468075725" r:id="rId21">
            <o:LockedField>false</o:LockedField>
          </o:OLEObject>
        </w:pi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page">
                  <wp:posOffset>810260</wp:posOffset>
                </wp:positionH>
                <wp:positionV relativeFrom="page">
                  <wp:posOffset>4312285</wp:posOffset>
                </wp:positionV>
                <wp:extent cx="6324600" cy="523875"/>
                <wp:effectExtent l="0" t="0" r="0" b="0"/>
                <wp:wrapNone/>
                <wp:docPr id="7" name="_x0000_s1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B25185">
                            <w:pPr>
                              <w:spacing w:line="240" w:lineRule="auto"/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rStyle w:val="46"/>
                                <w:rFonts w:hint="eastAsia"/>
                                <w:b w:val="0"/>
                                <w:bCs/>
                              </w:rPr>
                              <w:t>石油产品凝点测定仪校准规范</w:t>
                            </w:r>
                          </w:p>
                          <w:p w14:paraId="220792A0"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156" o:spid="_x0000_s1026" o:spt="202" type="#_x0000_t202" style="position:absolute;left:0pt;margin-left:63.8pt;margin-top:339.55pt;height:41.25pt;width:498pt;mso-position-horizontal-relative:page;mso-position-vertical-relative:page;z-index:251666432;mso-width-relative:page;mso-height-relative:page;" filled="f" stroked="f" coordsize="21600,21600" o:gfxdata="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/G2ejYAAAA&#10;DAEAAA8AAAAAAAAAAQAgAAAAIgAAAGRycy9kb3ducmV2LnhtbFBLAQIUABQAAAAIAIdO4kBuVle0&#10;qwEAAF0DAAAOAAAAAAAAAAEAIAAAACc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6B25185">
                      <w:pPr>
                        <w:spacing w:line="240" w:lineRule="auto"/>
                        <w:jc w:val="center"/>
                        <w:rPr>
                          <w:bCs/>
                        </w:rPr>
                      </w:pPr>
                      <w:r>
                        <w:rPr>
                          <w:rStyle w:val="46"/>
                          <w:rFonts w:hint="eastAsia"/>
                          <w:b w:val="0"/>
                          <w:bCs/>
                        </w:rPr>
                        <w:t>石油产品凝点测定仪校准规范</w:t>
                      </w:r>
                    </w:p>
                    <w:p w14:paraId="220792A0"/>
                  </w:txbxContent>
                </v:textbox>
                <w10:anchorlock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>
                <wp:simplePos x="0" y="0"/>
                <wp:positionH relativeFrom="page">
                  <wp:posOffset>810260</wp:posOffset>
                </wp:positionH>
                <wp:positionV relativeFrom="page">
                  <wp:posOffset>4886325</wp:posOffset>
                </wp:positionV>
                <wp:extent cx="6024245" cy="951230"/>
                <wp:effectExtent l="0" t="0" r="0" b="0"/>
                <wp:wrapNone/>
                <wp:docPr id="8" name="_x0000_s1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4245" cy="951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D682AEA">
                            <w:pPr>
                              <w:spacing w:line="360" w:lineRule="auto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70"/>
                                <w:rFonts w:hint="eastAsia" w:ascii="黑体" w:hAnsi="黑体" w:eastAsia="黑体" w:cs="黑体"/>
                                <w:b w:val="0"/>
                                <w:bCs/>
                              </w:rPr>
                              <w:t xml:space="preserve">Calibration Specification </w:t>
                            </w:r>
                            <w:r>
                              <w:rPr>
                                <w:rStyle w:val="70"/>
                                <w:rFonts w:hint="eastAsia" w:ascii="黑体" w:hAnsi="黑体" w:eastAsia="宋体" w:cs="黑体"/>
                                <w:b w:val="0"/>
                                <w:bCs/>
                              </w:rPr>
                              <w:t>f</w:t>
                            </w:r>
                            <w:r>
                              <w:rPr>
                                <w:rStyle w:val="70"/>
                                <w:rFonts w:ascii="黑体" w:hAnsi="黑体" w:eastAsia="宋体" w:cs="黑体"/>
                                <w:b w:val="0"/>
                                <w:bCs/>
                              </w:rPr>
                              <w:t>or Petroleum Product</w:t>
                            </w:r>
                            <w:r>
                              <w:rPr>
                                <w:rStyle w:val="70"/>
                                <w:rFonts w:hint="eastAsia" w:ascii="黑体" w:hAnsi="黑体" w:eastAsia="黑体" w:cs="黑体"/>
                                <w:b w:val="0"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  <w:t>olidification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 Point Testers</w:t>
                            </w:r>
                          </w:p>
                          <w:p w14:paraId="57EF13C8">
                            <w:pPr>
                              <w:pStyle w:val="75"/>
                              <w:ind w:firstLine="488"/>
                              <w:jc w:val="center"/>
                              <w:rPr>
                                <w:rFonts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</w:rPr>
                              <w:t>（征求意见稿）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157" o:spid="_x0000_s1026" o:spt="202" type="#_x0000_t202" style="position:absolute;left:0pt;margin-left:63.8pt;margin-top:384.75pt;height:74.9pt;width:474.35pt;mso-position-horizontal-relative:page;mso-position-vertical-relative:page;z-index:251667456;mso-width-relative:page;mso-height-relative:page;" filled="f" stroked="f" coordsize="21600,21600" o:gfxdata="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nrTEF2AAA&#10;AAwBAAAPAAAAAAAAAAEAIAAAACIAAABkcnMvZG93bnJldi54bWxQSwECFAAUAAAACACHTuJAiNd2&#10;DqwBAABd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D682AEA">
                      <w:pPr>
                        <w:spacing w:line="360" w:lineRule="auto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Style w:val="70"/>
                          <w:rFonts w:hint="eastAsia" w:ascii="黑体" w:hAnsi="黑体" w:eastAsia="黑体" w:cs="黑体"/>
                          <w:b w:val="0"/>
                          <w:bCs/>
                        </w:rPr>
                        <w:t xml:space="preserve">Calibration Specification </w:t>
                      </w:r>
                      <w:r>
                        <w:rPr>
                          <w:rStyle w:val="70"/>
                          <w:rFonts w:hint="eastAsia" w:ascii="黑体" w:hAnsi="黑体" w:eastAsia="宋体" w:cs="黑体"/>
                          <w:b w:val="0"/>
                          <w:bCs/>
                        </w:rPr>
                        <w:t>f</w:t>
                      </w:r>
                      <w:r>
                        <w:rPr>
                          <w:rStyle w:val="70"/>
                          <w:rFonts w:ascii="黑体" w:hAnsi="黑体" w:eastAsia="宋体" w:cs="黑体"/>
                          <w:b w:val="0"/>
                          <w:bCs/>
                        </w:rPr>
                        <w:t>or Petroleum Product</w:t>
                      </w:r>
                      <w:r>
                        <w:rPr>
                          <w:rStyle w:val="70"/>
                          <w:rFonts w:hint="eastAsia" w:ascii="黑体" w:hAnsi="黑体" w:eastAsia="黑体" w:cs="黑体"/>
                          <w:b w:val="0"/>
                          <w:bCs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rFonts w:ascii="黑体" w:hAnsi="黑体" w:eastAsia="黑体"/>
                          <w:sz w:val="28"/>
                          <w:szCs w:val="28"/>
                        </w:rPr>
                        <w:t>olidification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 xml:space="preserve"> Point Testers</w:t>
                      </w:r>
                    </w:p>
                    <w:p w14:paraId="57EF13C8">
                      <w:pPr>
                        <w:pStyle w:val="75"/>
                        <w:ind w:firstLine="488"/>
                        <w:jc w:val="center"/>
                        <w:rPr>
                          <w:rFonts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</w:rPr>
                        <w:t>（征求意见稿）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8867775</wp:posOffset>
                </wp:positionV>
                <wp:extent cx="3023870" cy="398145"/>
                <wp:effectExtent l="0" t="0" r="0" b="0"/>
                <wp:wrapNone/>
                <wp:docPr id="5" name="_x0000_s1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387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53F9A4">
                            <w:pPr>
                              <w:adjustRightInd/>
                              <w:spacing w:before="120" w:beforeLines="50" w:line="240" w:lineRule="auto"/>
                              <w:rPr>
                                <w:rStyle w:val="54"/>
                                <w:spacing w:val="2"/>
                                <w:kern w:val="0"/>
                                <w:szCs w:val="42"/>
                              </w:rPr>
                            </w:pPr>
                            <w:r>
                              <w:rPr>
                                <w:rStyle w:val="54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  <w:t xml:space="preserve">   </w:t>
                            </w:r>
                            <w:r>
                              <w:rPr>
                                <w:rStyle w:val="54"/>
                                <w:rFonts w:hint="eastAsia"/>
                              </w:rPr>
                              <w:t>XXXX–XX–XX</w:t>
                            </w:r>
                            <w:r>
                              <w:rPr>
                                <w:rStyle w:val="54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  <w:t xml:space="preserve"> 发布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46" o:spid="_x0000_s1026" o:spt="202" type="#_x0000_t202" style="position:absolute;left:0pt;margin-left:70.9pt;margin-top:698.25pt;height:31.35pt;width:238.1pt;mso-position-horizontal-relative:page;mso-position-vertical-relative:page;z-index:251664384;mso-width-relative:page;mso-height-relative:page;" filled="f" stroked="f" coordsize="21600,21600" o:gfxdata="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0Cenf2QAAAA0BAAAPAAAAAAAAAAEAIAAAACIAAABkcnMvZG93bnJldi54bWxQSwECFAAU&#10;AAAACACHTuJAkgHuRrcBAAB3AwAADgAAAAAAAAABACAAAAAoAQAAZHJzL2Uyb0RvYy54bWxQSwUG&#10;AAAAAAYABgBZAQAAU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C53F9A4">
                      <w:pPr>
                        <w:adjustRightInd/>
                        <w:spacing w:before="120" w:beforeLines="50" w:line="240" w:lineRule="auto"/>
                        <w:rPr>
                          <w:rStyle w:val="54"/>
                          <w:spacing w:val="2"/>
                          <w:kern w:val="0"/>
                          <w:szCs w:val="42"/>
                        </w:rPr>
                      </w:pPr>
                      <w:r>
                        <w:rPr>
                          <w:rStyle w:val="54"/>
                          <w:rFonts w:hint="eastAsia"/>
                          <w:spacing w:val="2"/>
                          <w:kern w:val="0"/>
                          <w:szCs w:val="42"/>
                        </w:rPr>
                        <w:t xml:space="preserve">   </w:t>
                      </w:r>
                      <w:r>
                        <w:rPr>
                          <w:rStyle w:val="54"/>
                          <w:rFonts w:hint="eastAsia"/>
                        </w:rPr>
                        <w:t>XXXX–XX–XX</w:t>
                      </w:r>
                      <w:r>
                        <w:rPr>
                          <w:rStyle w:val="54"/>
                          <w:rFonts w:hint="eastAsia"/>
                          <w:spacing w:val="2"/>
                          <w:kern w:val="0"/>
                          <w:szCs w:val="42"/>
                        </w:rPr>
                        <w:t xml:space="preserve"> 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9201150</wp:posOffset>
                </wp:positionV>
                <wp:extent cx="6120130" cy="979170"/>
                <wp:effectExtent l="0" t="0" r="0" b="0"/>
                <wp:wrapNone/>
                <wp:docPr id="4" name="_x0000_s1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4F7D49B">
                            <w:pPr>
                              <w:spacing w:before="600" w:beforeLines="250" w:line="240" w:lineRule="auto"/>
                              <w:jc w:val="center"/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spacing w:val="2"/>
                                <w:kern w:val="0"/>
                                <w:sz w:val="44"/>
                                <w:szCs w:val="44"/>
                              </w:rPr>
                              <w:t>国 家 市 场 监 督 管 理 总 局</w:t>
                            </w:r>
                            <w:r>
                              <w:rPr>
                                <w:rFonts w:hint="eastAsia"/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黑体" w:eastAsia="黑体"/>
                                <w:bCs/>
                                <w:spacing w:val="2"/>
                                <w:kern w:val="0"/>
                                <w:sz w:val="28"/>
                                <w:szCs w:val="28"/>
                              </w:rPr>
                              <w:t>发  布</w:t>
                            </w:r>
                          </w:p>
                          <w:p w14:paraId="4B588238">
                            <w:pPr>
                              <w:spacing w:before="600" w:beforeLines="250" w:line="240" w:lineRule="auto"/>
                              <w:jc w:val="center"/>
                            </w:pPr>
                          </w:p>
                        </w:txbxContent>
                      </wps:txbx>
                      <wps:bodyPr wrap="square" lIns="91440" tIns="36028" rIns="91440" bIns="36028" upright="1"/>
                    </wps:wsp>
                  </a:graphicData>
                </a:graphic>
              </wp:anchor>
            </w:drawing>
          </mc:Choice>
          <mc:Fallback>
            <w:pict>
              <v:shape id="_x0000_s1145" o:spid="_x0000_s1026" o:spt="202" type="#_x0000_t202" style="position:absolute;left:0pt;margin-left:70.9pt;margin-top:724.5pt;height:77.1pt;width:481.9pt;mso-position-horizontal-relative:page;mso-position-vertical-relative:page;z-index:251663360;mso-width-relative:page;mso-height-relative:page;" filled="f" stroked="f" coordsize="21600,21600" o:gfxdata="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aDuNANoAAAAOAQAADwAAAAAAAAABACAAAAAiAAAAZHJzL2Rvd25y&#10;ZXYueG1sUEsBAhQAFAAAAAgAh07iQBrYyGDDAQAAkQMAAA4AAAAAAAAAAQAgAAAAKQ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2.54mm,2.83685039370079pt,2.54mm,2.83685039370079pt">
                  <w:txbxContent>
                    <w:p w14:paraId="04F7D49B">
                      <w:pPr>
                        <w:spacing w:before="600" w:beforeLines="250" w:line="240" w:lineRule="auto"/>
                        <w:jc w:val="center"/>
                      </w:pPr>
                      <w:r>
                        <w:rPr>
                          <w:rFonts w:hint="eastAsia" w:ascii="华文中宋" w:hAnsi="华文中宋" w:eastAsia="华文中宋"/>
                          <w:b/>
                          <w:spacing w:val="2"/>
                          <w:kern w:val="0"/>
                          <w:sz w:val="44"/>
                          <w:szCs w:val="44"/>
                        </w:rPr>
                        <w:t>国 家 市 场 监 督 管 理 总 局</w:t>
                      </w:r>
                      <w:r>
                        <w:rPr>
                          <w:rFonts w:hint="eastAsia"/>
                          <w:b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rFonts w:hint="eastAsia" w:ascii="黑体" w:eastAsia="黑体"/>
                          <w:bCs/>
                          <w:spacing w:val="2"/>
                          <w:kern w:val="0"/>
                          <w:sz w:val="28"/>
                          <w:szCs w:val="28"/>
                        </w:rPr>
                        <w:t>发  布</w:t>
                      </w:r>
                    </w:p>
                    <w:p w14:paraId="4B588238">
                      <w:pPr>
                        <w:spacing w:before="600" w:beforeLines="250" w:line="240" w:lineRule="auto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9267825</wp:posOffset>
                </wp:positionV>
                <wp:extent cx="6120130" cy="0"/>
                <wp:effectExtent l="0" t="6350" r="1270" b="6350"/>
                <wp:wrapNone/>
                <wp:docPr id="2" name="_x0000_s10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4" o:spid="_x0000_s1026" o:spt="20" style="position:absolute;left:0pt;margin-left:70.85pt;margin-top:729.75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z206LtgAAAAOAQAADwAAAAAAAAABACAAAAAiAAAAZHJzL2Rvd25yZXYueG1sUEsBAhQAFAAA&#10;AAgAh07iQLmfgozvAQAAAwQAAA4AAAAAAAAAAQAgAAAAJwEAAGRycy9lMm9Eb2MueG1sUEsFBgAA&#10;AAAGAAYAWQEAAIgFAAAAAA==&#10;">
                <v:fill on="f" focussize="0,0"/>
                <v:stroke weight="1pt" color="#000000" joinstyle="round"/>
                <v:imagedata o:title=""/>
                <o:lock v:ext="edit" aspectratio="t"/>
                <w10:anchorlock/>
              </v:line>
            </w:pict>
          </mc:Fallback>
        </mc:AlternateContent>
      </w:r>
    </w:p>
    <w:bookmarkEnd w:id="1"/>
    <w:p w14:paraId="65D923C5">
      <w:pPr>
        <w:widowControl/>
        <w:adjustRightInd/>
        <w:spacing w:line="240" w:lineRule="auto"/>
        <w:jc w:val="left"/>
        <w:rPr>
          <w:rFonts w:eastAsia="黑体"/>
          <w:color w:val="000000" w:themeColor="text1"/>
          <w:spacing w:val="2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bookmarkStart w:id="2" w:name="mbookmark2"/>
    </w:p>
    <w:p w14:paraId="0E69FC77">
      <w:pPr>
        <w:pStyle w:val="75"/>
        <w:ind w:firstLine="488"/>
        <w:rPr>
          <w:color w:val="000000" w:themeColor="text1"/>
          <w14:textFill>
            <w14:solidFill>
              <w14:schemeClr w14:val="tx1"/>
            </w14:solidFill>
          </w14:textFill>
        </w:rPr>
        <w:sectPr>
          <w:headerReference r:id="rId10" w:type="first"/>
          <w:footerReference r:id="rId11" w:type="first"/>
          <w:headerReference r:id="rId9" w:type="default"/>
          <w:pgSz w:w="11906" w:h="16838"/>
          <w:pgMar w:top="1871" w:right="1134" w:bottom="1417" w:left="1417" w:header="1417" w:footer="1077" w:gutter="0"/>
          <w:pgNumType w:fmt="upperRoman"/>
          <w:cols w:space="720" w:num="1"/>
          <w:docGrid w:linePitch="312" w:charSpace="0"/>
        </w:sectPr>
      </w:pPr>
    </w:p>
    <w:p w14:paraId="05B35F0E">
      <w:pPr>
        <w:pStyle w:val="75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>
                <wp:simplePos x="0" y="0"/>
                <wp:positionH relativeFrom="page">
                  <wp:posOffset>566420</wp:posOffset>
                </wp:positionH>
                <wp:positionV relativeFrom="page">
                  <wp:posOffset>9172575</wp:posOffset>
                </wp:positionV>
                <wp:extent cx="6094730" cy="790575"/>
                <wp:effectExtent l="0" t="0" r="0" b="0"/>
                <wp:wrapNone/>
                <wp:docPr id="15" name="_x0000_s1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473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4F70C83">
                            <w:pPr>
                              <w:pStyle w:val="75"/>
                              <w:ind w:firstLine="568"/>
                              <w:rPr>
                                <w:rFonts w:ascii="宋体" w:hAnsi="宋体" w:eastAsia="宋体"/>
                                <w:sz w:val="28"/>
                              </w:rPr>
                            </w:pPr>
                            <w:r>
                              <w:rPr>
                                <w:rStyle w:val="68"/>
                                <w:rFonts w:hint="eastAsia" w:ascii="宋体" w:hAnsi="宋体" w:eastAsia="宋体"/>
                                <w:b w:val="0"/>
                              </w:rPr>
                              <w:t>本规范委托全国石油专用计量测试技术委员会负责解释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176" o:spid="_x0000_s1026" o:spt="202" type="#_x0000_t202" style="position:absolute;left:0pt;margin-left:44.6pt;margin-top:722.25pt;height:62.25pt;width:479.9pt;mso-position-horizontal-relative:page;mso-position-vertical-relative:page;z-index:251673600;mso-width-relative:page;mso-height-relative:page;" filled="f" stroked="f" coordsize="21600,21600" o:gfxdata="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GvcBdTYAAAA&#10;DQEAAA8AAAAAAAAAAQAgAAAAIgAAAGRycy9kb3ducmV2LnhtbFBLAQIUABQAAAAIAIdO4kBoKI0e&#10;qwEAAF4DAAAOAAAAAAAAAAEAIAAAACc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4F70C83">
                      <w:pPr>
                        <w:pStyle w:val="75"/>
                        <w:ind w:firstLine="568"/>
                        <w:rPr>
                          <w:rFonts w:ascii="宋体" w:hAnsi="宋体" w:eastAsia="宋体"/>
                          <w:sz w:val="28"/>
                        </w:rPr>
                      </w:pPr>
                      <w:r>
                        <w:rPr>
                          <w:rStyle w:val="68"/>
                          <w:rFonts w:hint="eastAsia" w:ascii="宋体" w:hAnsi="宋体" w:eastAsia="宋体"/>
                          <w:b w:val="0"/>
                        </w:rPr>
                        <w:t>本规范委托全国石油专用计量测试技术委员会负责解释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4377055</wp:posOffset>
            </wp:positionH>
            <wp:positionV relativeFrom="page">
              <wp:posOffset>1692275</wp:posOffset>
            </wp:positionV>
            <wp:extent cx="2343150" cy="790575"/>
            <wp:effectExtent l="0" t="0" r="6350" b="9525"/>
            <wp:wrapNone/>
            <wp:docPr id="1" name="_x0000_s1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_s119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>
                <wp:simplePos x="0" y="0"/>
                <wp:positionH relativeFrom="page">
                  <wp:posOffset>756920</wp:posOffset>
                </wp:positionH>
                <wp:positionV relativeFrom="page">
                  <wp:posOffset>2161540</wp:posOffset>
                </wp:positionV>
                <wp:extent cx="3467100" cy="973455"/>
                <wp:effectExtent l="0" t="0" r="0" b="0"/>
                <wp:wrapNone/>
                <wp:docPr id="10" name="_x0000_s1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973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8575A99">
                            <w:pPr>
                              <w:spacing w:line="360" w:lineRule="auto"/>
                              <w:jc w:val="center"/>
                              <w:rPr>
                                <w:rStyle w:val="47"/>
                                <w:rFonts w:ascii="黑体" w:hAnsi="黑体" w:eastAsia="黑体" w:cs="黑体"/>
                              </w:rPr>
                            </w:pPr>
                            <w:r>
                              <w:rPr>
                                <w:rStyle w:val="47"/>
                                <w:rFonts w:hint="eastAsia" w:ascii="黑体" w:hAnsi="黑体" w:eastAsia="黑体" w:cs="黑体"/>
                              </w:rPr>
                              <w:t xml:space="preserve">Calibration Specification </w:t>
                            </w:r>
                            <w:r>
                              <w:rPr>
                                <w:rStyle w:val="47"/>
                                <w:rFonts w:ascii="黑体" w:hAnsi="黑体" w:eastAsia="宋体" w:cs="黑体"/>
                              </w:rPr>
                              <w:t>for Petroleum Product</w:t>
                            </w:r>
                            <w:r>
                              <w:rPr>
                                <w:rStyle w:val="47"/>
                                <w:rFonts w:hint="eastAsia" w:ascii="黑体" w:hAnsi="黑体" w:eastAsia="黑体" w:cs="黑体"/>
                              </w:rPr>
                              <w:t xml:space="preserve"> </w:t>
                            </w:r>
                          </w:p>
                          <w:p w14:paraId="1F05463E">
                            <w:pPr>
                              <w:spacing w:line="360" w:lineRule="auto"/>
                              <w:jc w:val="center"/>
                              <w:rPr>
                                <w:rStyle w:val="47"/>
                                <w:rFonts w:eastAsia="黑体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  <w:t>olidification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 Point Testers</w:t>
                            </w:r>
                            <w:r>
                              <w:rPr>
                                <w:rStyle w:val="47"/>
                                <w:rFonts w:hint="eastAsia" w:ascii="黑体" w:hAnsi="黑体" w:eastAsia="黑体" w:cs="黑体"/>
                              </w:rPr>
                              <w:t xml:space="preserve"> </w:t>
                            </w:r>
                          </w:p>
                          <w:p w14:paraId="119A04B0"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171" o:spid="_x0000_s1026" o:spt="202" type="#_x0000_t202" style="position:absolute;left:0pt;margin-left:59.6pt;margin-top:170.2pt;height:76.65pt;width:273pt;mso-position-horizontal-relative:page;mso-position-vertical-relative:page;z-index:251669504;mso-width-relative:page;mso-height-relative:page;" filled="f" stroked="f" coordsize="21600,21600" o:gfxdata="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8hw60NcAAAAL&#10;AQAADwAAAAAAAAABACAAAAAiAAAAZHJzL2Rvd25yZXYueG1sUEsBAhQAFAAAAAgAh07iQHrUafir&#10;AQAAXgMAAA4AAAAAAAAAAQAgAAAAJgEAAGRycy9lMm9Eb2MueG1sUEsFBgAAAAAGAAYAWQEAAEMF&#10;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8575A99">
                      <w:pPr>
                        <w:spacing w:line="360" w:lineRule="auto"/>
                        <w:jc w:val="center"/>
                        <w:rPr>
                          <w:rStyle w:val="47"/>
                          <w:rFonts w:ascii="黑体" w:hAnsi="黑体" w:eastAsia="黑体" w:cs="黑体"/>
                        </w:rPr>
                      </w:pPr>
                      <w:r>
                        <w:rPr>
                          <w:rStyle w:val="47"/>
                          <w:rFonts w:hint="eastAsia" w:ascii="黑体" w:hAnsi="黑体" w:eastAsia="黑体" w:cs="黑体"/>
                        </w:rPr>
                        <w:t xml:space="preserve">Calibration Specification </w:t>
                      </w:r>
                      <w:r>
                        <w:rPr>
                          <w:rStyle w:val="47"/>
                          <w:rFonts w:ascii="黑体" w:hAnsi="黑体" w:eastAsia="宋体" w:cs="黑体"/>
                        </w:rPr>
                        <w:t>for Petroleum Product</w:t>
                      </w:r>
                      <w:r>
                        <w:rPr>
                          <w:rStyle w:val="47"/>
                          <w:rFonts w:hint="eastAsia" w:ascii="黑体" w:hAnsi="黑体" w:eastAsia="黑体" w:cs="黑体"/>
                        </w:rPr>
                        <w:t xml:space="preserve"> </w:t>
                      </w:r>
                    </w:p>
                    <w:p w14:paraId="1F05463E">
                      <w:pPr>
                        <w:spacing w:line="360" w:lineRule="auto"/>
                        <w:jc w:val="center"/>
                        <w:rPr>
                          <w:rStyle w:val="47"/>
                          <w:rFonts w:eastAsia="黑体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rFonts w:ascii="黑体" w:hAnsi="黑体" w:eastAsia="黑体"/>
                          <w:sz w:val="28"/>
                          <w:szCs w:val="28"/>
                        </w:rPr>
                        <w:t>olidification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 xml:space="preserve"> Point Testers</w:t>
                      </w:r>
                      <w:r>
                        <w:rPr>
                          <w:rStyle w:val="47"/>
                          <w:rFonts w:hint="eastAsia" w:ascii="黑体" w:hAnsi="黑体" w:eastAsia="黑体" w:cs="黑体"/>
                        </w:rPr>
                        <w:t xml:space="preserve"> </w:t>
                      </w:r>
                    </w:p>
                    <w:p w14:paraId="119A04B0"/>
                  </w:txbxContent>
                </v:textbox>
                <w10:anchorlock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page">
                  <wp:posOffset>699770</wp:posOffset>
                </wp:positionH>
                <wp:positionV relativeFrom="page">
                  <wp:posOffset>1303655</wp:posOffset>
                </wp:positionV>
                <wp:extent cx="3557270" cy="986790"/>
                <wp:effectExtent l="0" t="0" r="0" b="0"/>
                <wp:wrapNone/>
                <wp:docPr id="9" name="_x0000_s1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7270" cy="986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87B8E5">
                            <w:pPr>
                              <w:pStyle w:val="75"/>
                              <w:spacing w:line="240" w:lineRule="auto"/>
                              <w:ind w:firstLine="0" w:firstLineChars="0"/>
                              <w:jc w:val="center"/>
                            </w:pPr>
                            <w:r>
                              <w:rPr>
                                <w:rStyle w:val="49"/>
                                <w:rFonts w:hint="eastAsia"/>
                              </w:rPr>
                              <w:t>石油产品凝点测定仪校准规范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170" o:spid="_x0000_s1026" o:spt="202" type="#_x0000_t202" style="position:absolute;left:0pt;margin-left:55.1pt;margin-top:102.65pt;height:77.7pt;width:280.1pt;mso-position-horizontal-relative:page;mso-position-vertical-relative:page;z-index:251668480;mso-width-relative:page;mso-height-relative:page;" filled="f" stroked="f" coordsize="21600,21600" o:gfxdata="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/jmiY9gAAAAL&#10;AQAADwAAAAAAAAABACAAAAAiAAAAZHJzL2Rvd25yZXYueG1sUEsBAhQAFAAAAAgAh07iQEAwYcaq&#10;AQAAXQ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587B8E5">
                      <w:pPr>
                        <w:pStyle w:val="75"/>
                        <w:spacing w:line="240" w:lineRule="auto"/>
                        <w:ind w:firstLine="0" w:firstLineChars="0"/>
                        <w:jc w:val="center"/>
                      </w:pPr>
                      <w:r>
                        <w:rPr>
                          <w:rStyle w:val="49"/>
                          <w:rFonts w:hint="eastAsia"/>
                        </w:rPr>
                        <w:t>石油产品凝点测定仪校准规范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>
                <wp:simplePos x="0" y="0"/>
                <wp:positionH relativeFrom="page">
                  <wp:posOffset>4300220</wp:posOffset>
                </wp:positionH>
                <wp:positionV relativeFrom="page">
                  <wp:posOffset>1884045</wp:posOffset>
                </wp:positionV>
                <wp:extent cx="2466975" cy="424815"/>
                <wp:effectExtent l="0" t="0" r="0" b="0"/>
                <wp:wrapNone/>
                <wp:docPr id="11" name="_x0000_s1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424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5EDA119">
                            <w:pPr>
                              <w:spacing w:line="240" w:lineRule="auto"/>
                              <w:jc w:val="center"/>
                              <w:rPr>
                                <w:rFonts w:ascii="黑体" w:hAnsi="黑体" w:eastAsia="黑体" w:cs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63"/>
                                <w:rFonts w:hint="eastAsia" w:ascii="黑体" w:hAnsi="黑体" w:eastAsia="黑体" w:cs="黑体"/>
                                <w:b/>
                                <w:sz w:val="28"/>
                                <w:szCs w:val="28"/>
                              </w:rPr>
                              <w:t xml:space="preserve">JJF </w:t>
                            </w:r>
                            <w:r>
                              <w:rPr>
                                <w:rStyle w:val="63"/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XXXX</w:t>
                            </w:r>
                            <w:r>
                              <w:rPr>
                                <w:rStyle w:val="52"/>
                                <w:rFonts w:hint="eastAsia" w:ascii="黑体" w:hAnsi="黑体" w:eastAsia="黑体" w:cs="黑体"/>
                                <w:b w:val="0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－</w:t>
                            </w:r>
                            <w:r>
                              <w:rPr>
                                <w:rStyle w:val="63"/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XXXX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175" o:spid="_x0000_s1026" o:spt="202" type="#_x0000_t202" style="position:absolute;left:0pt;margin-left:338.6pt;margin-top:148.35pt;height:33.45pt;width:194.25pt;mso-position-horizontal-relative:page;mso-position-vertical-relative:page;z-index:251670528;mso-width-relative:page;mso-height-relative:page;" filled="f" stroked="f" coordsize="21600,21600" o:gfxdata="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aFQ+E9kA&#10;AAAMAQAADwAAAAAAAAABACAAAAAiAAAAZHJzL2Rvd25yZXYueG1sUEsBAhQAFAAAAAgAh07iQFoC&#10;vuSsAQAAXgMAAA4AAAAAAAAAAQAgAAAAKA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5EDA119">
                      <w:pPr>
                        <w:spacing w:line="240" w:lineRule="auto"/>
                        <w:jc w:val="center"/>
                        <w:rPr>
                          <w:rFonts w:ascii="黑体" w:hAnsi="黑体" w:eastAsia="黑体" w:cs="黑体"/>
                          <w:sz w:val="28"/>
                          <w:szCs w:val="28"/>
                        </w:rPr>
                      </w:pPr>
                      <w:r>
                        <w:rPr>
                          <w:rStyle w:val="63"/>
                          <w:rFonts w:hint="eastAsia" w:ascii="黑体" w:hAnsi="黑体" w:eastAsia="黑体" w:cs="黑体"/>
                          <w:b/>
                          <w:sz w:val="28"/>
                          <w:szCs w:val="28"/>
                        </w:rPr>
                        <w:t xml:space="preserve">JJF </w:t>
                      </w:r>
                      <w:r>
                        <w:rPr>
                          <w:rStyle w:val="63"/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XXXX</w:t>
                      </w:r>
                      <w:r>
                        <w:rPr>
                          <w:rStyle w:val="52"/>
                          <w:rFonts w:hint="eastAsia" w:ascii="黑体" w:hAnsi="黑体" w:eastAsia="黑体" w:cs="黑体"/>
                          <w:b w:val="0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－</w:t>
                      </w:r>
                      <w:r>
                        <w:rPr>
                          <w:rStyle w:val="63"/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XXXX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3133725</wp:posOffset>
                </wp:positionV>
                <wp:extent cx="5943600" cy="0"/>
                <wp:effectExtent l="0" t="6350" r="0" b="6350"/>
                <wp:wrapNone/>
                <wp:docPr id="3" name="_x0000_s11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140" o:spid="_x0000_s1026" o:spt="20" style="position:absolute;left:0pt;margin-left:70.9pt;margin-top:246.75pt;height:0pt;width:468pt;mso-position-horizontal-relative:page;mso-position-vertical-relative:page;z-index:251662336;mso-width-relative:page;mso-height-relative:page;" filled="f" stroked="t" coordsize="21600,21600" o:gfxdata="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XI9lE2QAAAAwBAAAPAAAAAAAAAAEAIAAAACIAAABkcnMvZG93bnJldi54bWxQSwECFAAU&#10;AAAACACHTuJASGT2pfABAAADBAAADgAAAAAAAAABACAAAAAoAQAAZHJzL2Uyb0RvYy54bWxQSwUG&#10;AAAAAAYABgBZAQAAigUAAAAA&#10;">
                <v:fill on="f" focussize="0,0"/>
                <v:stroke weight="1pt" color="#000000" joinstyle="round"/>
                <v:imagedata o:title=""/>
                <o:lock v:ext="edit" aspectratio="t"/>
                <w10:anchorlock/>
              </v:lin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>
                <wp:simplePos x="0" y="0"/>
                <wp:positionH relativeFrom="page">
                  <wp:posOffset>866775</wp:posOffset>
                </wp:positionH>
                <wp:positionV relativeFrom="page">
                  <wp:posOffset>5324475</wp:posOffset>
                </wp:positionV>
                <wp:extent cx="6094730" cy="1771650"/>
                <wp:effectExtent l="0" t="0" r="0" b="0"/>
                <wp:wrapNone/>
                <wp:docPr id="12" name="_x0000_s1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4730" cy="177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AF0F951">
                            <w:pPr>
                              <w:pStyle w:val="75"/>
                              <w:ind w:firstLine="568"/>
                              <w:rPr>
                                <w:rStyle w:val="68"/>
                                <w:rFonts w:ascii="黑体" w:hAnsi="黑体" w:cs="黑体"/>
                                <w:b w:val="0"/>
                              </w:rPr>
                            </w:pPr>
                            <w:r>
                              <w:rPr>
                                <w:rStyle w:val="68"/>
                                <w:rFonts w:hint="eastAsia" w:ascii="黑体" w:hAnsi="黑体" w:cs="黑体"/>
                                <w:b w:val="0"/>
                              </w:rPr>
                              <w:t xml:space="preserve">归 口 单 位 ：  </w:t>
                            </w:r>
                            <w:bookmarkStart w:id="76" w:name="_Hlk167957720"/>
                            <w:r>
                              <w:rPr>
                                <w:rStyle w:val="55"/>
                                <w:rFonts w:hint="eastAsia" w:ascii="宋体" w:hAnsi="宋体" w:cs="宋体"/>
                              </w:rPr>
                              <w:t>全国石油专用计量测试技术委员会</w:t>
                            </w:r>
                            <w:bookmarkEnd w:id="76"/>
                          </w:p>
                          <w:p w14:paraId="7CE8F88B">
                            <w:pPr>
                              <w:pStyle w:val="75"/>
                              <w:ind w:firstLine="568"/>
                              <w:rPr>
                                <w:rStyle w:val="55"/>
                                <w:rFonts w:ascii="黑体" w:hAnsi="黑体" w:cs="黑体"/>
                              </w:rPr>
                            </w:pPr>
                            <w:r>
                              <w:rPr>
                                <w:rStyle w:val="68"/>
                                <w:rFonts w:hint="eastAsia" w:ascii="黑体" w:hAnsi="黑体" w:cs="黑体"/>
                                <w:b w:val="0"/>
                              </w:rPr>
                              <w:t xml:space="preserve">主要起草单位： </w:t>
                            </w:r>
                            <w:r>
                              <w:rPr>
                                <w:rStyle w:val="55"/>
                                <w:rFonts w:hint="eastAsia" w:ascii="黑体" w:hAnsi="黑体" w:cs="黑体"/>
                              </w:rPr>
                              <w:t xml:space="preserve"> 中国计量科学研究院</w:t>
                            </w:r>
                          </w:p>
                          <w:p w14:paraId="16D9A5E7">
                            <w:pPr>
                              <w:pStyle w:val="75"/>
                              <w:ind w:firstLine="2840" w:firstLineChars="1000"/>
                              <w:rPr>
                                <w:rStyle w:val="55"/>
                                <w:rFonts w:ascii="黑体" w:hAnsi="黑体" w:cs="黑体"/>
                              </w:rPr>
                            </w:pPr>
                            <w:r>
                              <w:rPr>
                                <w:rStyle w:val="55"/>
                                <w:rFonts w:hint="eastAsia" w:ascii="黑体" w:hAnsi="黑体" w:cs="黑体"/>
                              </w:rPr>
                              <w:t>中国石化胜利油田分公司</w:t>
                            </w:r>
                          </w:p>
                          <w:p w14:paraId="5C27EA13">
                            <w:pPr>
                              <w:pStyle w:val="75"/>
                              <w:ind w:firstLine="2840" w:firstLineChars="1000"/>
                              <w:rPr>
                                <w:rStyle w:val="55"/>
                                <w:rFonts w:ascii="黑体" w:hAnsi="黑体" w:cs="黑体"/>
                              </w:rPr>
                            </w:pPr>
                            <w:r>
                              <w:rPr>
                                <w:rStyle w:val="55"/>
                                <w:rFonts w:hint="eastAsia" w:ascii="黑体" w:hAnsi="黑体" w:cs="黑体"/>
                              </w:rPr>
                              <w:t>山东省计量科学研究院</w:t>
                            </w:r>
                          </w:p>
                          <w:p w14:paraId="7F90C4D5">
                            <w:pPr>
                              <w:pStyle w:val="75"/>
                              <w:ind w:firstLine="2840" w:firstLineChars="1000"/>
                              <w:rPr>
                                <w:rStyle w:val="55"/>
                                <w:rFonts w:ascii="黑体" w:hAnsi="黑体" w:eastAsia="黑体" w:cs="黑体"/>
                              </w:rPr>
                            </w:pPr>
                            <w:r>
                              <w:rPr>
                                <w:rStyle w:val="68"/>
                                <w:rFonts w:hint="eastAsia" w:ascii="宋体" w:hAnsi="宋体" w:eastAsia="宋体" w:cs="宋体"/>
                                <w:b w:val="0"/>
                              </w:rPr>
                              <w:t>辽宁省计量科学研究院</w:t>
                            </w:r>
                            <w:r>
                              <w:rPr>
                                <w:rStyle w:val="55"/>
                                <w:rFonts w:hint="eastAsia" w:ascii="黑体" w:hAnsi="黑体" w:eastAsia="黑体" w:cs="黑体"/>
                              </w:rPr>
                              <w:t xml:space="preserve"> </w:t>
                            </w:r>
                          </w:p>
                          <w:p w14:paraId="23D44391">
                            <w:pPr>
                              <w:pStyle w:val="75"/>
                              <w:ind w:firstLine="2840" w:firstLineChars="1000"/>
                              <w:rPr>
                                <w:rFonts w:ascii="黑体" w:hAnsi="黑体" w:cs="黑体"/>
                                <w:sz w:val="28"/>
                              </w:rPr>
                            </w:pPr>
                            <w:r>
                              <w:rPr>
                                <w:rStyle w:val="55"/>
                                <w:rFonts w:hint="eastAsia" w:ascii="黑体" w:hAnsi="黑体" w:eastAsia="黑体" w:cs="黑体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vert="horz" wrap="square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76" o:spid="_x0000_s1026" o:spt="202" type="#_x0000_t202" style="position:absolute;left:0pt;margin-left:68.25pt;margin-top:419.25pt;height:139.5pt;width:479.9pt;mso-position-horizontal-relative:page;mso-position-vertical-relative:page;z-index:251671552;mso-width-relative:page;mso-height-relative:page;" filled="f" stroked="f" coordsize="21600,21600" o:gfxdata="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ECHkn3YAAAADQEAAA8AAAAAAAAAAQAgAAAAIgAAAGRy&#10;cy9kb3ducmV2LnhtbFBLAQIUABQAAAAIAIdO4kCeV2Y2zAEAAJ4DAAAOAAAAAAAAAAEAIAAAACcB&#10;AABkcnMvZTJvRG9jLnhtbFBLBQYAAAAABgAGAFkBAABl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AF0F951">
                      <w:pPr>
                        <w:pStyle w:val="75"/>
                        <w:ind w:firstLine="568"/>
                        <w:rPr>
                          <w:rStyle w:val="68"/>
                          <w:rFonts w:ascii="黑体" w:hAnsi="黑体" w:cs="黑体"/>
                          <w:b w:val="0"/>
                        </w:rPr>
                      </w:pPr>
                      <w:r>
                        <w:rPr>
                          <w:rStyle w:val="68"/>
                          <w:rFonts w:hint="eastAsia" w:ascii="黑体" w:hAnsi="黑体" w:cs="黑体"/>
                          <w:b w:val="0"/>
                        </w:rPr>
                        <w:t xml:space="preserve">归 口 单 位 ：  </w:t>
                      </w:r>
                      <w:bookmarkStart w:id="76" w:name="_Hlk167957720"/>
                      <w:r>
                        <w:rPr>
                          <w:rStyle w:val="55"/>
                          <w:rFonts w:hint="eastAsia" w:ascii="宋体" w:hAnsi="宋体" w:cs="宋体"/>
                        </w:rPr>
                        <w:t>全国石油专用计量测试技术委员会</w:t>
                      </w:r>
                      <w:bookmarkEnd w:id="76"/>
                    </w:p>
                    <w:p w14:paraId="7CE8F88B">
                      <w:pPr>
                        <w:pStyle w:val="75"/>
                        <w:ind w:firstLine="568"/>
                        <w:rPr>
                          <w:rStyle w:val="55"/>
                          <w:rFonts w:ascii="黑体" w:hAnsi="黑体" w:cs="黑体"/>
                        </w:rPr>
                      </w:pPr>
                      <w:r>
                        <w:rPr>
                          <w:rStyle w:val="68"/>
                          <w:rFonts w:hint="eastAsia" w:ascii="黑体" w:hAnsi="黑体" w:cs="黑体"/>
                          <w:b w:val="0"/>
                        </w:rPr>
                        <w:t xml:space="preserve">主要起草单位： </w:t>
                      </w:r>
                      <w:r>
                        <w:rPr>
                          <w:rStyle w:val="55"/>
                          <w:rFonts w:hint="eastAsia" w:ascii="黑体" w:hAnsi="黑体" w:cs="黑体"/>
                        </w:rPr>
                        <w:t xml:space="preserve"> 中国计量科学研究院</w:t>
                      </w:r>
                    </w:p>
                    <w:p w14:paraId="16D9A5E7">
                      <w:pPr>
                        <w:pStyle w:val="75"/>
                        <w:ind w:firstLine="2840" w:firstLineChars="1000"/>
                        <w:rPr>
                          <w:rStyle w:val="55"/>
                          <w:rFonts w:ascii="黑体" w:hAnsi="黑体" w:cs="黑体"/>
                        </w:rPr>
                      </w:pPr>
                      <w:r>
                        <w:rPr>
                          <w:rStyle w:val="55"/>
                          <w:rFonts w:hint="eastAsia" w:ascii="黑体" w:hAnsi="黑体" w:cs="黑体"/>
                        </w:rPr>
                        <w:t>中国石化胜利油田分公司</w:t>
                      </w:r>
                    </w:p>
                    <w:p w14:paraId="5C27EA13">
                      <w:pPr>
                        <w:pStyle w:val="75"/>
                        <w:ind w:firstLine="2840" w:firstLineChars="1000"/>
                        <w:rPr>
                          <w:rStyle w:val="55"/>
                          <w:rFonts w:ascii="黑体" w:hAnsi="黑体" w:cs="黑体"/>
                        </w:rPr>
                      </w:pPr>
                      <w:r>
                        <w:rPr>
                          <w:rStyle w:val="55"/>
                          <w:rFonts w:hint="eastAsia" w:ascii="黑体" w:hAnsi="黑体" w:cs="黑体"/>
                        </w:rPr>
                        <w:t>山东省计量科学研究院</w:t>
                      </w:r>
                    </w:p>
                    <w:p w14:paraId="7F90C4D5">
                      <w:pPr>
                        <w:pStyle w:val="75"/>
                        <w:ind w:firstLine="2840" w:firstLineChars="1000"/>
                        <w:rPr>
                          <w:rStyle w:val="55"/>
                          <w:rFonts w:ascii="黑体" w:hAnsi="黑体" w:eastAsia="黑体" w:cs="黑体"/>
                        </w:rPr>
                      </w:pPr>
                      <w:r>
                        <w:rPr>
                          <w:rStyle w:val="68"/>
                          <w:rFonts w:hint="eastAsia" w:ascii="宋体" w:hAnsi="宋体" w:eastAsia="宋体" w:cs="宋体"/>
                          <w:b w:val="0"/>
                        </w:rPr>
                        <w:t>辽宁省计量科学研究院</w:t>
                      </w:r>
                      <w:r>
                        <w:rPr>
                          <w:rStyle w:val="55"/>
                          <w:rFonts w:hint="eastAsia" w:ascii="黑体" w:hAnsi="黑体" w:eastAsia="黑体" w:cs="黑体"/>
                        </w:rPr>
                        <w:t xml:space="preserve"> </w:t>
                      </w:r>
                    </w:p>
                    <w:p w14:paraId="23D44391">
                      <w:pPr>
                        <w:pStyle w:val="75"/>
                        <w:ind w:firstLine="2840" w:firstLineChars="1000"/>
                        <w:rPr>
                          <w:rFonts w:ascii="黑体" w:hAnsi="黑体" w:cs="黑体"/>
                          <w:sz w:val="28"/>
                        </w:rPr>
                      </w:pPr>
                      <w:r>
                        <w:rPr>
                          <w:rStyle w:val="55"/>
                          <w:rFonts w:hint="eastAsia" w:ascii="黑体" w:hAnsi="黑体" w:eastAsia="黑体" w:cs="黑体"/>
                        </w:rPr>
                        <w:t xml:space="preserve">          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>
                <wp:simplePos x="0" y="0"/>
                <wp:positionH relativeFrom="page">
                  <wp:posOffset>819150</wp:posOffset>
                </wp:positionH>
                <wp:positionV relativeFrom="page">
                  <wp:posOffset>7276465</wp:posOffset>
                </wp:positionV>
                <wp:extent cx="6094730" cy="1095375"/>
                <wp:effectExtent l="0" t="0" r="0" b="9525"/>
                <wp:wrapNone/>
                <wp:docPr id="13" name="_x0000_s1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4730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82B2DEB">
                            <w:pPr>
                              <w:pStyle w:val="75"/>
                              <w:ind w:firstLine="568"/>
                              <w:rPr>
                                <w:rStyle w:val="55"/>
                              </w:rPr>
                            </w:pPr>
                            <w:r>
                              <w:rPr>
                                <w:rStyle w:val="68"/>
                                <w:rFonts w:hint="eastAsia" w:ascii="黑体" w:hAnsi="黑体" w:cs="黑体"/>
                                <w:b w:val="0"/>
                              </w:rPr>
                              <w:t xml:space="preserve">参加起草单位：  </w:t>
                            </w:r>
                            <w:r>
                              <w:rPr>
                                <w:rStyle w:val="55"/>
                                <w:rFonts w:hint="eastAsia"/>
                              </w:rPr>
                              <w:t>中石化石油化工科学研究院有限公司</w:t>
                            </w:r>
                          </w:p>
                          <w:p w14:paraId="1D793B40">
                            <w:pPr>
                              <w:pStyle w:val="75"/>
                              <w:ind w:firstLine="568"/>
                              <w:rPr>
                                <w:rStyle w:val="68"/>
                                <w:rFonts w:ascii="宋体" w:hAnsi="宋体" w:eastAsia="宋体" w:cs="宋体"/>
                                <w:b w:val="0"/>
                              </w:rPr>
                            </w:pPr>
                            <w:r>
                              <w:rPr>
                                <w:rStyle w:val="68"/>
                                <w:rFonts w:hint="eastAsia" w:ascii="宋体" w:hAnsi="宋体" w:eastAsia="宋体" w:cs="宋体"/>
                                <w:b w:val="0"/>
                              </w:rPr>
                              <w:t xml:space="preserve"> </w:t>
                            </w:r>
                            <w:r>
                              <w:rPr>
                                <w:rStyle w:val="68"/>
                                <w:rFonts w:ascii="宋体" w:hAnsi="宋体" w:eastAsia="宋体" w:cs="宋体"/>
                                <w:b w:val="0"/>
                              </w:rPr>
                              <w:t xml:space="preserve">               </w:t>
                            </w:r>
                            <w:r>
                              <w:rPr>
                                <w:rStyle w:val="68"/>
                                <w:rFonts w:hint="eastAsia" w:ascii="宋体" w:hAnsi="宋体" w:eastAsia="宋体" w:cs="宋体"/>
                                <w:b w:val="0"/>
                              </w:rPr>
                              <w:t>宁波市计量科学研究院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77" o:spid="_x0000_s1026" o:spt="202" type="#_x0000_t202" style="position:absolute;left:0pt;margin-left:64.5pt;margin-top:572.95pt;height:86.25pt;width:479.9pt;mso-position-horizontal-relative:page;mso-position-vertical-relative:page;z-index:251672576;mso-width-relative:page;mso-height-relative:page;" filled="f" stroked="f" coordsize="21600,21600" o:gfxdata="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DyqjetkAAAAOAQAADwAAAAAAAAABACAAAAAiAAAAZHJzL2Rvd25yZXYueG1sUEsBAhQA&#10;FAAAAAgAh07iQA63KZG4AQAAeQMAAA4AAAAAAAAAAQAgAAAAKAEAAGRycy9lMm9Eb2MueG1sUEsF&#10;BgAAAAAGAAYAWQEAAF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82B2DEB">
                      <w:pPr>
                        <w:pStyle w:val="75"/>
                        <w:ind w:firstLine="568"/>
                        <w:rPr>
                          <w:rStyle w:val="55"/>
                        </w:rPr>
                      </w:pPr>
                      <w:r>
                        <w:rPr>
                          <w:rStyle w:val="68"/>
                          <w:rFonts w:hint="eastAsia" w:ascii="黑体" w:hAnsi="黑体" w:cs="黑体"/>
                          <w:b w:val="0"/>
                        </w:rPr>
                        <w:t xml:space="preserve">参加起草单位：  </w:t>
                      </w:r>
                      <w:r>
                        <w:rPr>
                          <w:rStyle w:val="55"/>
                          <w:rFonts w:hint="eastAsia"/>
                        </w:rPr>
                        <w:t>中石化石油化工科学研究院有限公司</w:t>
                      </w:r>
                    </w:p>
                    <w:p w14:paraId="1D793B40">
                      <w:pPr>
                        <w:pStyle w:val="75"/>
                        <w:ind w:firstLine="568"/>
                        <w:rPr>
                          <w:rStyle w:val="68"/>
                          <w:rFonts w:ascii="宋体" w:hAnsi="宋体" w:eastAsia="宋体" w:cs="宋体"/>
                          <w:b w:val="0"/>
                        </w:rPr>
                      </w:pPr>
                      <w:r>
                        <w:rPr>
                          <w:rStyle w:val="68"/>
                          <w:rFonts w:hint="eastAsia" w:ascii="宋体" w:hAnsi="宋体" w:eastAsia="宋体" w:cs="宋体"/>
                          <w:b w:val="0"/>
                        </w:rPr>
                        <w:t xml:space="preserve"> </w:t>
                      </w:r>
                      <w:r>
                        <w:rPr>
                          <w:rStyle w:val="68"/>
                          <w:rFonts w:ascii="宋体" w:hAnsi="宋体" w:eastAsia="宋体" w:cs="宋体"/>
                          <w:b w:val="0"/>
                        </w:rPr>
                        <w:t xml:space="preserve">               </w:t>
                      </w:r>
                      <w:r>
                        <w:rPr>
                          <w:rStyle w:val="68"/>
                          <w:rFonts w:hint="eastAsia" w:ascii="宋体" w:hAnsi="宋体" w:eastAsia="宋体" w:cs="宋体"/>
                          <w:b w:val="0"/>
                        </w:rPr>
                        <w:t>宁波市计量科学研究院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6E8363">
      <w:pPr>
        <w:pStyle w:val="75"/>
        <w:ind w:firstLine="488"/>
        <w:rPr>
          <w:color w:val="000000" w:themeColor="text1"/>
          <w14:textFill>
            <w14:solidFill>
              <w14:schemeClr w14:val="tx1"/>
            </w14:solidFill>
          </w14:textFill>
        </w:rPr>
        <w:sectPr>
          <w:headerReference r:id="rId12" w:type="first"/>
          <w:type w:val="continuous"/>
          <w:pgSz w:w="11906" w:h="16838"/>
          <w:pgMar w:top="1871" w:right="1134" w:bottom="1417" w:left="1417" w:header="1417" w:footer="1077" w:gutter="0"/>
          <w:pgNumType w:fmt="upperRoman"/>
          <w:cols w:space="720" w:num="1"/>
          <w:titlePg/>
          <w:docGrid w:linePitch="312" w:charSpace="0"/>
        </w:sectPr>
      </w:pPr>
    </w:p>
    <w:bookmarkEnd w:id="2"/>
    <w:p w14:paraId="2C99F27B">
      <w:pPr>
        <w:pStyle w:val="170"/>
        <w:spacing w:before="0" w:after="0" w:line="240" w:lineRule="auto"/>
        <w:jc w:val="left"/>
        <w:outlineLvl w:val="9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3" w:name="mbookmark4"/>
    </w:p>
    <w:p w14:paraId="006D3151">
      <w:pPr>
        <w:pStyle w:val="75"/>
        <w:ind w:firstLine="428"/>
        <w:rPr>
          <w:rFonts w:ascii="黑体"/>
          <w:color w:val="000000" w:themeColor="text1"/>
          <w:sz w:val="21"/>
          <w:szCs w:val="20"/>
          <w14:textFill>
            <w14:solidFill>
              <w14:schemeClr w14:val="tx1"/>
            </w14:solidFill>
          </w14:textFill>
        </w:rPr>
      </w:pPr>
    </w:p>
    <w:p w14:paraId="3B8A9DE1">
      <w:pPr>
        <w:pStyle w:val="75"/>
        <w:ind w:firstLine="208"/>
        <w:rPr>
          <w:color w:val="000000" w:themeColor="text1"/>
          <w:sz w:val="10"/>
          <w:szCs w:val="10"/>
          <w14:textFill>
            <w14:solidFill>
              <w14:schemeClr w14:val="tx1"/>
            </w14:solidFill>
          </w14:textFill>
        </w:rPr>
      </w:pPr>
    </w:p>
    <w:p w14:paraId="11AC9518">
      <w:pPr>
        <w:pStyle w:val="75"/>
        <w:ind w:firstLine="208"/>
        <w:rPr>
          <w:color w:val="000000" w:themeColor="text1"/>
          <w:sz w:val="10"/>
          <w:szCs w:val="10"/>
          <w14:textFill>
            <w14:solidFill>
              <w14:schemeClr w14:val="tx1"/>
            </w14:solidFill>
          </w14:textFill>
        </w:rPr>
      </w:pPr>
    </w:p>
    <w:p w14:paraId="436727B6">
      <w:pPr>
        <w:pStyle w:val="75"/>
        <w:ind w:firstLine="208"/>
        <w:rPr>
          <w:color w:val="000000" w:themeColor="text1"/>
          <w:sz w:val="10"/>
          <w:szCs w:val="10"/>
          <w14:textFill>
            <w14:solidFill>
              <w14:schemeClr w14:val="tx1"/>
            </w14:solidFill>
          </w14:textFill>
        </w:rPr>
      </w:pPr>
    </w:p>
    <w:p w14:paraId="5DADEFAB">
      <w:pPr>
        <w:pStyle w:val="75"/>
        <w:ind w:firstLine="568"/>
        <w:rPr>
          <w:rFonts w:ascii="黑体" w:hAnsi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58"/>
          <w:rFonts w:hint="eastAsia" w:ascii="黑体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本规范主要起草人：</w:t>
      </w:r>
    </w:p>
    <w:p w14:paraId="0ED719AC">
      <w:pPr>
        <w:pStyle w:val="75"/>
        <w:ind w:firstLine="2556" w:firstLineChars="900"/>
        <w:rPr>
          <w:rStyle w:val="55"/>
          <w:rFonts w:ascii="黑体" w:hAnsi="黑体" w:eastAsia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Style w:val="55"/>
          <w:rFonts w:hint="eastAsia" w:ascii="黑体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刘  喆</w:t>
      </w:r>
      <w:r>
        <w:rPr>
          <w:rStyle w:val="55"/>
          <w:rFonts w:hint="eastAsia" w:ascii="黑体" w:hAnsi="黑体" w:eastAsia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55"/>
          <w:rFonts w:hint="eastAsia" w:ascii="黑体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中国计量科学研究院</w:t>
      </w:r>
      <w:r>
        <w:rPr>
          <w:rStyle w:val="55"/>
          <w:rFonts w:hint="eastAsia" w:ascii="黑体" w:hAnsi="黑体" w:eastAsia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）</w:t>
      </w:r>
    </w:p>
    <w:p w14:paraId="42972748">
      <w:pPr>
        <w:pStyle w:val="94"/>
        <w:numPr>
          <w:ilvl w:val="1"/>
          <w:numId w:val="0"/>
        </w:numPr>
        <w:spacing w:before="0" w:beforeLines="0" w:after="0" w:afterLines="0" w:line="360" w:lineRule="auto"/>
        <w:ind w:right="-105" w:firstLine="2556" w:firstLineChars="900"/>
        <w:jc w:val="left"/>
        <w:outlineLvl w:val="9"/>
        <w:rPr>
          <w:rStyle w:val="55"/>
          <w:rFonts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Style w:val="55"/>
          <w:rFonts w:hint="eastAsia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张  森（山东省计量科学研究院）</w:t>
      </w:r>
    </w:p>
    <w:p w14:paraId="350E8E97">
      <w:pPr>
        <w:pStyle w:val="75"/>
        <w:ind w:firstLine="488"/>
      </w:pPr>
      <w:r>
        <w:rPr>
          <w:rFonts w:hint="eastAsia"/>
        </w:rPr>
        <w:t xml:space="preserve"> </w:t>
      </w:r>
      <w:r>
        <w:t xml:space="preserve">                </w:t>
      </w:r>
      <w:r>
        <w:rPr>
          <w:rStyle w:val="55"/>
          <w:rFonts w:ascii="黑体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贺东旭</w:t>
      </w:r>
      <w:r>
        <w:rPr>
          <w:rStyle w:val="55"/>
          <w:rFonts w:hint="eastAsia" w:ascii="黑体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（中国石化胜利油田分公司）</w:t>
      </w:r>
    </w:p>
    <w:p w14:paraId="44E66920">
      <w:pPr>
        <w:pStyle w:val="94"/>
        <w:numPr>
          <w:ilvl w:val="1"/>
          <w:numId w:val="0"/>
        </w:numPr>
        <w:spacing w:before="0" w:beforeLines="0" w:after="0" w:afterLines="0" w:line="360" w:lineRule="auto"/>
        <w:ind w:right="-105" w:firstLine="2556" w:firstLineChars="900"/>
        <w:outlineLvl w:val="9"/>
        <w:rPr>
          <w:rStyle w:val="55"/>
          <w:rFonts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Style w:val="55"/>
          <w:rFonts w:hint="eastAsia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 xml:space="preserve">洪 </w:t>
      </w:r>
      <w:r>
        <w:rPr>
          <w:rStyle w:val="55"/>
          <w:rFonts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5"/>
          <w:rFonts w:hint="eastAsia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滔（辽宁省计量科学研究院）</w:t>
      </w:r>
    </w:p>
    <w:p w14:paraId="098F7249">
      <w:pPr>
        <w:pStyle w:val="75"/>
        <w:ind w:firstLine="1420" w:firstLineChars="500"/>
        <w:rPr>
          <w:rFonts w:ascii="黑体" w:hAnsi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58"/>
          <w:rFonts w:hint="eastAsia" w:ascii="黑体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参加起草人：</w:t>
      </w:r>
    </w:p>
    <w:p w14:paraId="0DBCD09D">
      <w:pPr>
        <w:pStyle w:val="94"/>
        <w:numPr>
          <w:ilvl w:val="1"/>
          <w:numId w:val="0"/>
        </w:numPr>
        <w:spacing w:before="0" w:beforeLines="0" w:after="0" w:afterLines="0" w:line="360" w:lineRule="auto"/>
        <w:ind w:right="-105" w:firstLine="2556" w:firstLineChars="900"/>
        <w:outlineLvl w:val="9"/>
        <w:rPr>
          <w:rStyle w:val="55"/>
          <w:rFonts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Style w:val="55"/>
          <w:rFonts w:hint="eastAsia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赵丽萍（中国石化石油化工科学研究院）</w:t>
      </w:r>
    </w:p>
    <w:p w14:paraId="4F81FDCA">
      <w:pPr>
        <w:pStyle w:val="75"/>
        <w:ind w:firstLine="2556" w:firstLineChars="900"/>
        <w:rPr>
          <w:rStyle w:val="55"/>
          <w:rFonts w:ascii="黑体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Style w:val="55"/>
          <w:rFonts w:hint="eastAsia" w:ascii="黑体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秦树伟（宁波市计量科学研究院）</w:t>
      </w:r>
    </w:p>
    <w:p w14:paraId="169FE1D8">
      <w:pPr>
        <w:pStyle w:val="75"/>
        <w:ind w:firstLine="2556" w:firstLineChars="900"/>
        <w:rPr>
          <w:rStyle w:val="55"/>
          <w:rFonts w:ascii="黑体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r>
        <w:rPr>
          <w:rStyle w:val="55"/>
          <w:rFonts w:hint="eastAsia" w:ascii="黑体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张正东</w:t>
      </w:r>
      <w:r>
        <w:rPr>
          <w:rStyle w:val="55"/>
          <w:rFonts w:hint="eastAsia" w:ascii="黑体" w:hAnsi="黑体" w:eastAsia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55"/>
          <w:rFonts w:hint="eastAsia" w:ascii="黑体" w:hAnsi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中国计量科学研究院</w:t>
      </w:r>
      <w:r>
        <w:rPr>
          <w:rStyle w:val="55"/>
          <w:rFonts w:hint="eastAsia" w:ascii="黑体" w:hAnsi="黑体" w:eastAsia="黑体" w:cs="黑体"/>
          <w:color w:val="000000" w:themeColor="text1"/>
          <w:szCs w:val="28"/>
          <w14:textFill>
            <w14:solidFill>
              <w14:schemeClr w14:val="tx1"/>
            </w14:solidFill>
          </w14:textFill>
        </w:rPr>
        <w:t>）</w:t>
      </w:r>
    </w:p>
    <w:p w14:paraId="383B2149">
      <w:pPr>
        <w:pStyle w:val="75"/>
        <w:ind w:firstLine="488"/>
      </w:pPr>
    </w:p>
    <w:p w14:paraId="1A4BC739">
      <w:pPr>
        <w:pStyle w:val="170"/>
        <w:spacing w:before="0" w:after="0" w:line="240" w:lineRule="auto"/>
        <w:jc w:val="left"/>
        <w:outlineLvl w:val="9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15E2704">
      <w:pPr>
        <w:pStyle w:val="170"/>
        <w:spacing w:before="0" w:after="0" w:line="240" w:lineRule="auto"/>
        <w:jc w:val="left"/>
        <w:outlineLvl w:val="9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D607DF0">
      <w:pPr>
        <w:pStyle w:val="170"/>
        <w:spacing w:before="0" w:after="0" w:line="240" w:lineRule="auto"/>
        <w:jc w:val="left"/>
        <w:outlineLvl w:val="9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E1ED6FB">
      <w:pPr>
        <w:pStyle w:val="170"/>
        <w:spacing w:before="0" w:after="0" w:line="240" w:lineRule="auto"/>
        <w:jc w:val="left"/>
        <w:outlineLvl w:val="9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FFA4AA1">
      <w:pPr>
        <w:pStyle w:val="170"/>
        <w:spacing w:before="0" w:after="0" w:line="240" w:lineRule="auto"/>
        <w:jc w:val="left"/>
        <w:outlineLvl w:val="9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DDEAF7F">
      <w:pPr>
        <w:pStyle w:val="170"/>
        <w:spacing w:before="0" w:after="0" w:line="240" w:lineRule="auto"/>
        <w:jc w:val="left"/>
        <w:outlineLvl w:val="9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BC8A09B">
      <w:pPr>
        <w:pStyle w:val="94"/>
        <w:numPr>
          <w:ilvl w:val="0"/>
          <w:numId w:val="0"/>
        </w:numPr>
        <w:spacing w:before="120" w:after="120"/>
        <w:ind w:left="993" w:right="-105"/>
        <w:outlineLvl w:val="9"/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5149484">
      <w:pPr>
        <w:pStyle w:val="75"/>
        <w:ind w:firstLine="488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2F08FA4">
      <w:pPr>
        <w:pStyle w:val="170"/>
        <w:spacing w:before="0" w:after="0" w:line="240" w:lineRule="auto"/>
        <w:jc w:val="left"/>
        <w:outlineLvl w:val="9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headerReference r:id="rId13" w:type="default"/>
          <w:pgSz w:w="11906" w:h="16838"/>
          <w:pgMar w:top="1871" w:right="1134" w:bottom="1417" w:left="1417" w:header="1417" w:footer="1077" w:gutter="0"/>
          <w:pgNumType w:start="1"/>
          <w:cols w:space="720" w:num="1"/>
          <w:docGrid w:linePitch="286" w:charSpace="0"/>
        </w:sectPr>
      </w:pPr>
    </w:p>
    <w:p w14:paraId="242A02A6">
      <w:pPr>
        <w:pStyle w:val="129"/>
        <w:spacing w:before="0" w:after="0" w:line="240" w:lineRule="auto"/>
      </w:pPr>
      <w:bookmarkStart w:id="4" w:name="_Toc288654590"/>
      <w:bookmarkStart w:id="5" w:name="_Toc288654386"/>
      <w:bookmarkStart w:id="6" w:name="_Toc288654519"/>
      <w:r>
        <w:rPr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    录</w:t>
      </w:r>
      <w:bookmarkEnd w:id="4"/>
      <w:bookmarkEnd w:id="5"/>
      <w:bookmarkEnd w:id="6"/>
      <w:bookmarkStart w:id="7" w:name="_Hlk483383588"/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instrText xml:space="preserve"> TOC \o "1-2" \h \z \u </w:instrText>
      </w:r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separate"/>
      </w:r>
    </w:p>
    <w:p w14:paraId="7AB470FE">
      <w:pPr>
        <w:pStyle w:val="17"/>
        <w:tabs>
          <w:tab w:val="left" w:pos="390"/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"_Toc206493347" </w:instrText>
      </w:r>
      <w:r>
        <w:fldChar w:fldCharType="separate"/>
      </w:r>
      <w:r>
        <w:rPr>
          <w:rStyle w:val="38"/>
        </w:rPr>
        <w:t>1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ab/>
      </w:r>
      <w:r>
        <w:rPr>
          <w:rStyle w:val="38"/>
        </w:rPr>
        <w:t>范围</w:t>
      </w:r>
      <w:r>
        <w:tab/>
      </w:r>
      <w:r>
        <w:fldChar w:fldCharType="begin"/>
      </w:r>
      <w:r>
        <w:instrText xml:space="preserve"> PAGEREF _Toc206493347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75FC68B">
      <w:pPr>
        <w:pStyle w:val="17"/>
        <w:tabs>
          <w:tab w:val="left" w:pos="390"/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"_Toc206493348" </w:instrText>
      </w:r>
      <w:r>
        <w:fldChar w:fldCharType="separate"/>
      </w:r>
      <w:r>
        <w:rPr>
          <w:rStyle w:val="38"/>
        </w:rPr>
        <w:t>2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ab/>
      </w:r>
      <w:r>
        <w:rPr>
          <w:rStyle w:val="38"/>
        </w:rPr>
        <w:t>引用文件</w:t>
      </w:r>
      <w:r>
        <w:tab/>
      </w:r>
      <w:r>
        <w:fldChar w:fldCharType="begin"/>
      </w:r>
      <w:r>
        <w:instrText xml:space="preserve"> PAGEREF _Toc206493348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3050AF85">
      <w:pPr>
        <w:pStyle w:val="17"/>
        <w:tabs>
          <w:tab w:val="left" w:pos="390"/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"_Toc206493349" </w:instrText>
      </w:r>
      <w:r>
        <w:fldChar w:fldCharType="separate"/>
      </w:r>
      <w:r>
        <w:rPr>
          <w:rStyle w:val="38"/>
        </w:rPr>
        <w:t>3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ab/>
      </w:r>
      <w:r>
        <w:rPr>
          <w:rStyle w:val="38"/>
        </w:rPr>
        <w:t>术语</w:t>
      </w:r>
      <w:r>
        <w:tab/>
      </w:r>
      <w:r>
        <w:fldChar w:fldCharType="begin"/>
      </w:r>
      <w:r>
        <w:instrText xml:space="preserve"> PAGEREF _Toc206493349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226A3FE2">
      <w:pPr>
        <w:pStyle w:val="17"/>
        <w:tabs>
          <w:tab w:val="left" w:pos="390"/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"_Toc206493350" </w:instrText>
      </w:r>
      <w:r>
        <w:fldChar w:fldCharType="separate"/>
      </w:r>
      <w:r>
        <w:rPr>
          <w:rStyle w:val="38"/>
        </w:rPr>
        <w:t>4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ab/>
      </w:r>
      <w:r>
        <w:rPr>
          <w:rStyle w:val="38"/>
        </w:rPr>
        <w:t>概述</w:t>
      </w:r>
      <w:r>
        <w:tab/>
      </w:r>
      <w:r>
        <w:fldChar w:fldCharType="begin"/>
      </w:r>
      <w:r>
        <w:instrText xml:space="preserve"> PAGEREF _Toc206493350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1218E47">
      <w:pPr>
        <w:pStyle w:val="17"/>
        <w:tabs>
          <w:tab w:val="left" w:pos="390"/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"_Toc206493351" </w:instrText>
      </w:r>
      <w:r>
        <w:fldChar w:fldCharType="separate"/>
      </w:r>
      <w:r>
        <w:rPr>
          <w:rStyle w:val="38"/>
        </w:rPr>
        <w:t>5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ab/>
      </w:r>
      <w:r>
        <w:rPr>
          <w:rStyle w:val="38"/>
        </w:rPr>
        <w:t>计量特性</w:t>
      </w:r>
      <w:r>
        <w:tab/>
      </w:r>
      <w:r>
        <w:fldChar w:fldCharType="begin"/>
      </w:r>
      <w:r>
        <w:instrText xml:space="preserve"> PAGEREF _Toc206493351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F5C1714">
      <w:pPr>
        <w:pStyle w:val="17"/>
        <w:tabs>
          <w:tab w:val="left" w:pos="390"/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"_Toc206493352" </w:instrText>
      </w:r>
      <w:r>
        <w:fldChar w:fldCharType="separate"/>
      </w:r>
      <w:r>
        <w:rPr>
          <w:rStyle w:val="38"/>
        </w:rPr>
        <w:t>6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ab/>
      </w:r>
      <w:r>
        <w:rPr>
          <w:rStyle w:val="38"/>
        </w:rPr>
        <w:t>校准条件</w:t>
      </w:r>
      <w:r>
        <w:tab/>
      </w:r>
      <w:r>
        <w:fldChar w:fldCharType="begin"/>
      </w:r>
      <w:r>
        <w:instrText xml:space="preserve"> PAGEREF _Toc206493352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6AEE3992">
      <w:pPr>
        <w:pStyle w:val="16"/>
        <w:tabs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"_Toc206493353" </w:instrText>
      </w:r>
      <w:r>
        <w:fldChar w:fldCharType="separate"/>
      </w:r>
      <w:r>
        <w:rPr>
          <w:rStyle w:val="38"/>
        </w:rPr>
        <w:t>6.1  环境条件</w:t>
      </w:r>
      <w:r>
        <w:tab/>
      </w:r>
      <w:r>
        <w:fldChar w:fldCharType="begin"/>
      </w:r>
      <w:r>
        <w:instrText xml:space="preserve"> PAGEREF _Toc206493353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023980A">
      <w:pPr>
        <w:pStyle w:val="16"/>
        <w:tabs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"_Toc206493354" </w:instrText>
      </w:r>
      <w:r>
        <w:fldChar w:fldCharType="separate"/>
      </w:r>
      <w:r>
        <w:rPr>
          <w:rStyle w:val="38"/>
        </w:rPr>
        <w:t>6.2  测量标准及其他设备</w:t>
      </w:r>
      <w:r>
        <w:tab/>
      </w:r>
      <w:r>
        <w:fldChar w:fldCharType="begin"/>
      </w:r>
      <w:r>
        <w:instrText xml:space="preserve"> PAGEREF _Toc206493354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008C972C">
      <w:pPr>
        <w:pStyle w:val="17"/>
        <w:tabs>
          <w:tab w:val="left" w:pos="390"/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"_Toc206493355" </w:instrText>
      </w:r>
      <w:r>
        <w:fldChar w:fldCharType="separate"/>
      </w:r>
      <w:r>
        <w:rPr>
          <w:rStyle w:val="38"/>
        </w:rPr>
        <w:t>7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ab/>
      </w:r>
      <w:r>
        <w:rPr>
          <w:rStyle w:val="38"/>
        </w:rPr>
        <w:t>校准项目和校准方法</w:t>
      </w:r>
      <w:r>
        <w:tab/>
      </w:r>
      <w:r>
        <w:fldChar w:fldCharType="begin"/>
      </w:r>
      <w:r>
        <w:instrText xml:space="preserve"> PAGEREF _Toc206493355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2C9016CD">
      <w:pPr>
        <w:pStyle w:val="17"/>
        <w:tabs>
          <w:tab w:val="left" w:pos="390"/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"_Toc206493356" </w:instrText>
      </w:r>
      <w:r>
        <w:fldChar w:fldCharType="separate"/>
      </w:r>
      <w:r>
        <w:rPr>
          <w:rStyle w:val="38"/>
        </w:rPr>
        <w:t>8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ab/>
      </w:r>
      <w:r>
        <w:rPr>
          <w:rStyle w:val="38"/>
        </w:rPr>
        <w:t>校准结果表达</w:t>
      </w:r>
      <w:r>
        <w:tab/>
      </w:r>
      <w:r>
        <w:fldChar w:fldCharType="begin"/>
      </w:r>
      <w:r>
        <w:instrText xml:space="preserve"> PAGEREF _Toc206493356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EC78992">
      <w:pPr>
        <w:pStyle w:val="17"/>
        <w:tabs>
          <w:tab w:val="left" w:pos="390"/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"_Toc206493357" </w:instrText>
      </w:r>
      <w:r>
        <w:fldChar w:fldCharType="separate"/>
      </w:r>
      <w:r>
        <w:rPr>
          <w:rStyle w:val="38"/>
        </w:rPr>
        <w:t>9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ab/>
      </w:r>
      <w:r>
        <w:rPr>
          <w:rStyle w:val="38"/>
        </w:rPr>
        <w:t>复校时间间隔</w:t>
      </w:r>
      <w:r>
        <w:tab/>
      </w:r>
      <w:r>
        <w:fldChar w:fldCharType="begin"/>
      </w:r>
      <w:r>
        <w:instrText xml:space="preserve"> PAGEREF _Toc206493357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7F575E0">
      <w:pPr>
        <w:pStyle w:val="17"/>
        <w:tabs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"_Toc206493358" </w:instrText>
      </w:r>
      <w:r>
        <w:fldChar w:fldCharType="separate"/>
      </w:r>
      <w:r>
        <w:rPr>
          <w:rStyle w:val="38"/>
        </w:rPr>
        <w:t>附录A</w:t>
      </w:r>
      <w:r>
        <w:tab/>
      </w:r>
      <w:r>
        <w:fldChar w:fldCharType="begin"/>
      </w:r>
      <w:r>
        <w:instrText xml:space="preserve"> PAGEREF _Toc206493358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EB7EDAC">
      <w:pPr>
        <w:pStyle w:val="17"/>
        <w:tabs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"_Toc206493359" </w:instrText>
      </w:r>
      <w:r>
        <w:fldChar w:fldCharType="separate"/>
      </w:r>
      <w:r>
        <w:rPr>
          <w:rStyle w:val="38"/>
        </w:rPr>
        <w:t>附录B</w:t>
      </w:r>
      <w:r>
        <w:tab/>
      </w:r>
      <w:r>
        <w:fldChar w:fldCharType="begin"/>
      </w:r>
      <w:r>
        <w:instrText xml:space="preserve"> PAGEREF _Toc206493359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125D92B">
      <w:pPr>
        <w:pStyle w:val="17"/>
        <w:tabs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"_Toc206493360" </w:instrText>
      </w:r>
      <w:r>
        <w:fldChar w:fldCharType="separate"/>
      </w:r>
      <w:r>
        <w:rPr>
          <w:rStyle w:val="38"/>
        </w:rPr>
        <w:t>附录C</w:t>
      </w:r>
      <w:r>
        <w:tab/>
      </w:r>
      <w:r>
        <w:fldChar w:fldCharType="begin"/>
      </w:r>
      <w:r>
        <w:instrText xml:space="preserve"> PAGEREF _Toc206493360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4091FDD">
      <w:pPr>
        <w:pStyle w:val="17"/>
        <w:tabs>
          <w:tab w:val="right" w:leader="dot" w:pos="9060"/>
        </w:tabs>
        <w:rPr>
          <w:rFonts w:asciiTheme="minorHAnsi" w:hAnsiTheme="minorHAnsi" w:eastAsiaTheme="minorEastAsia" w:cstheme="minorBidi"/>
          <w:kern w:val="2"/>
          <w:sz w:val="21"/>
          <w:szCs w:val="22"/>
        </w:rPr>
      </w:pPr>
      <w:r>
        <w:fldChar w:fldCharType="begin"/>
      </w:r>
      <w:r>
        <w:instrText xml:space="preserve"> HYPERLINK \l "_Toc206493361" </w:instrText>
      </w:r>
      <w:r>
        <w:fldChar w:fldCharType="separate"/>
      </w:r>
      <w:r>
        <w:rPr>
          <w:rStyle w:val="38"/>
          <w:rFonts w:ascii="黑体" w:hAnsi="黑体"/>
        </w:rPr>
        <w:t>附录</w:t>
      </w:r>
      <w:r>
        <w:rPr>
          <w:rStyle w:val="38"/>
        </w:rPr>
        <w:t>D</w:t>
      </w:r>
      <w:r>
        <w:tab/>
      </w:r>
      <w:r>
        <w:fldChar w:fldCharType="begin"/>
      </w:r>
      <w:r>
        <w:instrText xml:space="preserve"> PAGEREF _Toc206493361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3A12D21">
      <w:pPr>
        <w:pStyle w:val="17"/>
        <w:tabs>
          <w:tab w:val="right" w:leader="dot" w:pos="9355"/>
        </w:tabs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fldChar w:fldCharType="end"/>
      </w:r>
    </w:p>
    <w:bookmarkEnd w:id="7"/>
    <w:p w14:paraId="3A245F44">
      <w:pPr>
        <w:widowControl/>
        <w:adjustRightInd/>
        <w:spacing w:line="240" w:lineRule="auto"/>
        <w:jc w:val="left"/>
        <w:rPr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6E7E9B3">
      <w:pPr>
        <w:pStyle w:val="170"/>
        <w:spacing w:before="0" w:after="0" w:line="240" w:lineRule="auto"/>
        <w:jc w:val="left"/>
        <w:outlineLvl w:val="9"/>
        <w:rPr>
          <w:rFonts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F86AC6B">
      <w:pPr>
        <w:pStyle w:val="94"/>
        <w:numPr>
          <w:ilvl w:val="0"/>
          <w:numId w:val="0"/>
        </w:numPr>
        <w:spacing w:before="120" w:after="120"/>
        <w:ind w:left="993" w:right="-105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779EF67">
      <w:pPr>
        <w:pStyle w:val="75"/>
        <w:ind w:firstLine="488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DE652E2">
      <w:pPr>
        <w:pStyle w:val="75"/>
        <w:ind w:firstLine="488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0B92205">
      <w:pPr>
        <w:pStyle w:val="75"/>
        <w:ind w:firstLine="488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21A0F8D">
      <w:pPr>
        <w:widowControl/>
        <w:adjustRightInd/>
        <w:spacing w:line="240" w:lineRule="auto"/>
        <w:jc w:val="left"/>
        <w:rPr>
          <w:rFonts w:eastAsia="黑体"/>
          <w:color w:val="000000" w:themeColor="text1"/>
          <w:spacing w:val="2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53281BA2">
      <w:pPr>
        <w:pStyle w:val="75"/>
        <w:ind w:firstLine="488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33FCC84">
      <w:pPr>
        <w:pStyle w:val="75"/>
        <w:ind w:firstLine="488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BDA818D">
      <w:pPr>
        <w:pStyle w:val="170"/>
        <w:spacing w:before="360" w:beforeLines="150" w:after="0" w:line="300" w:lineRule="auto"/>
        <w:outlineLvl w:val="9"/>
        <w:rPr>
          <w:rFonts w:hAnsi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hAnsi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引</w:t>
      </w:r>
      <w:r>
        <w:rPr>
          <w:rFonts w:hAnsi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言</w:t>
      </w:r>
    </w:p>
    <w:p w14:paraId="07E8D942">
      <w:pPr>
        <w:snapToGrid w:val="0"/>
        <w:spacing w:line="360" w:lineRule="auto"/>
        <w:ind w:firstLine="480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本规范依据JJF 1071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2010《国家计量校准规范编写规则》、JJF 1001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1《通用计量术语及定义》、JJF 1059.1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2012《测量不确定度评定与表示》进行编制。</w:t>
      </w:r>
    </w:p>
    <w:p w14:paraId="4AED7166">
      <w:pPr>
        <w:snapToGrid w:val="0"/>
        <w:spacing w:line="360" w:lineRule="auto"/>
        <w:ind w:firstLine="480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本规范主要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参考了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GB/T 510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2018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《石油产品凝点测定法》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中的技术指标、检测方法等内容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183B7457">
      <w:pPr>
        <w:snapToGrid w:val="0"/>
        <w:spacing w:line="360" w:lineRule="auto"/>
        <w:ind w:firstLine="480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本规范为首次发布。</w:t>
      </w:r>
    </w:p>
    <w:p w14:paraId="113215E6">
      <w:pPr>
        <w:spacing w:line="360" w:lineRule="auto"/>
        <w:ind w:firstLine="480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30EAA51">
      <w:pPr>
        <w:pStyle w:val="75"/>
        <w:ind w:firstLine="0" w:firstLineChars="0"/>
        <w:rPr>
          <w:color w:val="000000" w:themeColor="text1"/>
          <w14:textFill>
            <w14:solidFill>
              <w14:schemeClr w14:val="tx1"/>
            </w14:solidFill>
          </w14:textFill>
        </w:rPr>
        <w:sectPr>
          <w:headerReference r:id="rId14" w:type="default"/>
          <w:footerReference r:id="rId15" w:type="default"/>
          <w:pgSz w:w="11906" w:h="16838"/>
          <w:pgMar w:top="2391" w:right="1418" w:bottom="1418" w:left="1418" w:header="1418" w:footer="1077" w:gutter="0"/>
          <w:pgNumType w:fmt="upperRoman" w:start="1"/>
          <w:cols w:space="720" w:num="1"/>
          <w:docGrid w:linePitch="286" w:charSpace="0"/>
        </w:sectPr>
      </w:pPr>
    </w:p>
    <w:p w14:paraId="4AB7948D">
      <w:pPr>
        <w:pStyle w:val="170"/>
        <w:spacing w:before="360" w:beforeLines="150" w:after="0" w:line="300" w:lineRule="auto"/>
        <w:outlineLvl w:val="9"/>
        <w:rPr>
          <w:rFonts w:ascii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石油产品凝点测定仪校准规范</w:t>
      </w:r>
    </w:p>
    <w:p w14:paraId="5A3C1AC4">
      <w:pPr>
        <w:pStyle w:val="2"/>
        <w:numPr>
          <w:ilvl w:val="0"/>
          <w:numId w:val="14"/>
        </w:numPr>
        <w:spacing w:line="324" w:lineRule="auto"/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8" w:name="_Toc206493347"/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t>范围</w:t>
      </w:r>
      <w:bookmarkEnd w:id="8"/>
    </w:p>
    <w:p w14:paraId="77BB66BD">
      <w:pPr>
        <w:spacing w:line="324" w:lineRule="auto"/>
        <w:ind w:firstLine="42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本规范适用于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手动法和自动法石油产品凝点测定仪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的校准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 w14:paraId="2AB289CC">
      <w:pPr>
        <w:pStyle w:val="2"/>
        <w:numPr>
          <w:ilvl w:val="0"/>
          <w:numId w:val="14"/>
        </w:numPr>
        <w:spacing w:line="324" w:lineRule="auto"/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9" w:name="_Toc519149390"/>
      <w:bookmarkStart w:id="10" w:name="_Toc206493348"/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t>引用文件</w:t>
      </w:r>
      <w:bookmarkEnd w:id="9"/>
      <w:bookmarkEnd w:id="10"/>
    </w:p>
    <w:p w14:paraId="1110C811">
      <w:pPr>
        <w:snapToGrid w:val="0"/>
        <w:spacing w:line="360" w:lineRule="auto"/>
        <w:ind w:firstLine="480" w:firstLineChars="200"/>
        <w:jc w:val="lef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本规范引用了下列文件：</w:t>
      </w:r>
    </w:p>
    <w:p w14:paraId="4F14BE2D">
      <w:pPr>
        <w:snapToGrid w:val="0"/>
        <w:spacing w:line="360" w:lineRule="auto"/>
        <w:ind w:firstLine="480" w:firstLineChars="200"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GB/T 510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2018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石油产品凝点测定法</w:t>
      </w:r>
    </w:p>
    <w:p w14:paraId="569CA78D">
      <w:pPr>
        <w:snapToGrid w:val="0"/>
        <w:spacing w:line="360" w:lineRule="auto"/>
        <w:ind w:firstLine="480" w:firstLineChars="200"/>
        <w:jc w:val="lef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凡是注日期的引用文件，仅注日期的版本适用于本规范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48475EE1">
      <w:pPr>
        <w:pStyle w:val="2"/>
        <w:numPr>
          <w:ilvl w:val="0"/>
          <w:numId w:val="14"/>
        </w:numPr>
        <w:adjustRightInd w:val="0"/>
        <w:snapToGrid w:val="0"/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11" w:name="_Toc206493349"/>
      <w:r>
        <w:rPr>
          <w:rFonts w:hint="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术语</w:t>
      </w:r>
      <w:bookmarkEnd w:id="11"/>
    </w:p>
    <w:p w14:paraId="75602C7B">
      <w:pPr>
        <w:snapToGrid w:val="0"/>
        <w:spacing w:line="360" w:lineRule="auto"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3.1 凝点 solidification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point </w:t>
      </w:r>
    </w:p>
    <w:p w14:paraId="00BF6EB4">
      <w:pPr>
        <w:snapToGrid w:val="0"/>
        <w:spacing w:line="360" w:lineRule="auto"/>
        <w:ind w:firstLine="480" w:firstLineChars="200"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试样在规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定条件下冷却至液面停止移动时的最高温度，以℃表示。</w:t>
      </w:r>
    </w:p>
    <w:p w14:paraId="149CCA76">
      <w:pPr>
        <w:snapToGrid w:val="0"/>
        <w:spacing w:line="360" w:lineRule="auto"/>
        <w:ind w:firstLine="480" w:firstLineChars="200"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[来源：GB/T 510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2018，3.1]</w:t>
      </w:r>
    </w:p>
    <w:p w14:paraId="286D5DE5">
      <w:pPr>
        <w:pStyle w:val="2"/>
        <w:numPr>
          <w:ilvl w:val="0"/>
          <w:numId w:val="14"/>
        </w:numPr>
        <w:adjustRightInd w:val="0"/>
        <w:snapToGrid w:val="0"/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12" w:name="_Toc206493350"/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t>概述</w:t>
      </w:r>
      <w:bookmarkEnd w:id="12"/>
    </w:p>
    <w:p w14:paraId="51C686C5">
      <w:pPr>
        <w:pStyle w:val="51"/>
        <w:adjustRightInd w:val="0"/>
        <w:snapToGrid w:val="0"/>
        <w:spacing w:line="360" w:lineRule="auto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凝点测定仪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用于液体燃料（如柴油、生物柴油调合燃料）及润滑油等石油产品凝点的测定。测量原理是将试样装在规定的试管</w:t>
      </w: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中，冷却至预期温度，将试管倾斜至与水平成4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°，静置1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min，观察液面是否移动，当液面不移动时的最高温度即为试样的凝点。</w:t>
      </w:r>
    </w:p>
    <w:p w14:paraId="1BF52F94">
      <w:pPr>
        <w:pStyle w:val="51"/>
        <w:adjustRightInd w:val="0"/>
        <w:snapToGrid w:val="0"/>
        <w:spacing w:line="360" w:lineRule="auto"/>
        <w:ind w:firstLine="480" w:firstLine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凝</w:t>
      </w:r>
      <w:r>
        <w:rPr>
          <w:rFonts w:hint="eastAsia" w:ascii="Times New Roman" w:hAnsi="Times New Roman"/>
          <w:sz w:val="24"/>
        </w:rPr>
        <w:t>点测定仪分为手动和自动两</w:t>
      </w:r>
      <w:r>
        <w:rPr>
          <w:rFonts w:hint="eastAsia"/>
          <w:sz w:val="24"/>
        </w:rPr>
        <w:t>种方式，分别采用目视或光学监测方法进行测量。凝点测定仪主要由冷却系统、计时装置、测试系统（试管、套管、温度计等）和光学监测系统（自动凝点测定仪适用）等组成</w:t>
      </w:r>
      <w:r>
        <w:rPr>
          <w:rFonts w:hint="eastAsia" w:ascii="Times New Roman" w:hAnsi="Times New Roman"/>
          <w:sz w:val="24"/>
          <w:szCs w:val="20"/>
        </w:rPr>
        <w:t>。手动凝</w:t>
      </w:r>
      <w:r>
        <w:rPr>
          <w:rFonts w:hint="eastAsia"/>
          <w:sz w:val="24"/>
        </w:rPr>
        <w:t>点测定仪结构示意图如图1所示。</w:t>
      </w:r>
    </w:p>
    <w:p w14:paraId="2A75F934">
      <w:pPr>
        <w:spacing w:line="360" w:lineRule="auto"/>
        <w:ind w:firstLine="420" w:firstLineChars="20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99590" cy="90106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9013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EBA46">
      <w:pPr>
        <w:spacing w:line="360" w:lineRule="auto"/>
        <w:ind w:firstLine="420" w:firstLineChars="200"/>
        <w:jc w:val="center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图1 手动凝点测定仪结构示意图</w:t>
      </w:r>
    </w:p>
    <w:p w14:paraId="6CC2D9F8">
      <w:pPr>
        <w:pStyle w:val="2"/>
        <w:numPr>
          <w:ilvl w:val="0"/>
          <w:numId w:val="14"/>
        </w:numPr>
        <w:spacing w:line="336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3" w:name="_Toc206493351"/>
      <w:bookmarkStart w:id="14" w:name="_Toc3362221"/>
      <w:r>
        <w:rPr>
          <w:color w:val="000000" w:themeColor="text1"/>
          <w14:textFill>
            <w14:solidFill>
              <w14:schemeClr w14:val="tx1"/>
            </w14:solidFill>
          </w14:textFill>
        </w:rPr>
        <w:t>计量特性</w:t>
      </w:r>
      <w:bookmarkEnd w:id="13"/>
      <w:bookmarkEnd w:id="14"/>
    </w:p>
    <w:p w14:paraId="7D6D0EEE">
      <w:pPr>
        <w:spacing w:line="336" w:lineRule="auto"/>
        <w:ind w:firstLine="42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5" w:name="_Toc462838179"/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凝点测定仪的计量特性见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表1。</w:t>
      </w:r>
    </w:p>
    <w:p w14:paraId="4C144647">
      <w:pPr>
        <w:spacing w:line="360" w:lineRule="auto"/>
        <w:jc w:val="center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表1 </w:t>
      </w:r>
      <w:r>
        <w:rPr>
          <w:rFonts w:hint="eastAsia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计量特性</w:t>
      </w:r>
    </w:p>
    <w:tbl>
      <w:tblPr>
        <w:tblStyle w:val="33"/>
        <w:tblW w:w="73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9"/>
        <w:gridCol w:w="4792"/>
      </w:tblGrid>
      <w:tr w14:paraId="5CDA7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2CEA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16" w:name="OLE_LINK6"/>
            <w:bookmarkStart w:id="17" w:name="OLE_LINK12"/>
            <w:bookmarkStart w:id="18" w:name="OLE_LINK7"/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计量特性</w:t>
            </w:r>
          </w:p>
        </w:tc>
        <w:tc>
          <w:tcPr>
            <w:tcW w:w="4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93B81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技术指标</w:t>
            </w:r>
          </w:p>
        </w:tc>
      </w:tr>
      <w:tr w14:paraId="3C23A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A936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温度示值误差</w:t>
            </w:r>
          </w:p>
        </w:tc>
        <w:tc>
          <w:tcPr>
            <w:tcW w:w="4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E198C">
            <w:pPr>
              <w:snapToGrid w:val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不超过±1.0 ℃</w:t>
            </w:r>
          </w:p>
        </w:tc>
      </w:tr>
      <w:tr w14:paraId="5EB2D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0CD36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凝点示值误差</w:t>
            </w:r>
          </w:p>
        </w:tc>
        <w:tc>
          <w:tcPr>
            <w:tcW w:w="4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03D25">
            <w:pPr>
              <w:snapToGrid w:val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不超过±6.0 ℃</w:t>
            </w:r>
          </w:p>
        </w:tc>
      </w:tr>
      <w:tr w14:paraId="4EBBB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96597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凝点示值重复性</w:t>
            </w:r>
          </w:p>
        </w:tc>
        <w:tc>
          <w:tcPr>
            <w:tcW w:w="4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13D7B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2.0 </w:t>
            </w:r>
            <w:r>
              <w:rPr>
                <w:rFonts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℃</w:t>
            </w:r>
          </w:p>
        </w:tc>
      </w:tr>
      <w:tr w14:paraId="02492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D9ED5">
            <w:pPr>
              <w:spacing w:line="300" w:lineRule="auto"/>
              <w:ind w:firstLine="240" w:firstLineChars="100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注：以上所有计量特性指标仅供参考,不做符合性判定。</w:t>
            </w:r>
          </w:p>
        </w:tc>
      </w:tr>
      <w:bookmarkEnd w:id="16"/>
      <w:bookmarkEnd w:id="17"/>
      <w:bookmarkEnd w:id="18"/>
    </w:tbl>
    <w:p w14:paraId="1353A475">
      <w:pPr>
        <w:pStyle w:val="2"/>
        <w:numPr>
          <w:ilvl w:val="0"/>
          <w:numId w:val="14"/>
        </w:numPr>
        <w:spacing w:line="30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9" w:name="_Toc206493352"/>
      <w:r>
        <w:rPr>
          <w:color w:val="000000" w:themeColor="text1"/>
          <w14:textFill>
            <w14:solidFill>
              <w14:schemeClr w14:val="tx1"/>
            </w14:solidFill>
          </w14:textFill>
        </w:rPr>
        <w:t>校准条件</w:t>
      </w:r>
      <w:bookmarkEnd w:id="15"/>
      <w:bookmarkEnd w:id="19"/>
    </w:p>
    <w:p w14:paraId="63874A76"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0" w:name="_Toc462838180"/>
      <w:bookmarkStart w:id="21" w:name="_Toc206493353"/>
      <w:bookmarkStart w:id="22" w:name="_Toc288815729"/>
      <w:r>
        <w:rPr>
          <w:color w:val="000000" w:themeColor="text1"/>
          <w14:textFill>
            <w14:solidFill>
              <w14:schemeClr w14:val="tx1"/>
            </w14:solidFill>
          </w14:textFill>
        </w:rPr>
        <w:t>6.1  环境条件</w:t>
      </w:r>
      <w:bookmarkEnd w:id="20"/>
      <w:bookmarkEnd w:id="21"/>
    </w:p>
    <w:p w14:paraId="220C2861">
      <w:pPr>
        <w:snapToGrid w:val="0"/>
        <w:spacing w:line="360" w:lineRule="auto"/>
        <w:jc w:val="left"/>
        <w:outlineLvl w:val="5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23" w:name="_Toc462838181"/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6.1.1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环境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温度：</w:t>
      </w:r>
      <w:bookmarkStart w:id="24" w:name="_Hlk206164762"/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（15～35）℃。</w:t>
      </w:r>
      <w:bookmarkEnd w:id="24"/>
    </w:p>
    <w:p w14:paraId="4B2F42D1">
      <w:pPr>
        <w:snapToGrid w:val="0"/>
        <w:spacing w:line="360" w:lineRule="auto"/>
        <w:jc w:val="left"/>
        <w:outlineLvl w:val="5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6.1.2 相对湿度：</w:t>
      </w:r>
      <w:r>
        <w:rPr>
          <w:sz w:val="24"/>
        </w:rPr>
        <w:t>≤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85%。</w:t>
      </w:r>
    </w:p>
    <w:p w14:paraId="72A4140E">
      <w:pPr>
        <w:snapToGrid w:val="0"/>
        <w:spacing w:line="360" w:lineRule="auto"/>
        <w:jc w:val="left"/>
        <w:outlineLvl w:val="5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6.1.3 供电电源：交流电压（220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±</w:t>
      </w:r>
      <w:r>
        <w:rPr>
          <w:rFonts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22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）V，（50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±</w:t>
      </w:r>
      <w:r>
        <w:rPr>
          <w:rFonts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）Hz。</w:t>
      </w:r>
    </w:p>
    <w:p w14:paraId="395CB448">
      <w:pPr>
        <w:snapToGrid w:val="0"/>
        <w:spacing w:line="360" w:lineRule="auto"/>
        <w:jc w:val="left"/>
        <w:outlineLvl w:val="5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6.1.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4凝点测定仪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应置于平稳的工作台上，且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保证实验室内光线充足，能准确观察到试样液面变化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4670779F"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5" w:name="_Toc206493354"/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6.2  </w:t>
      </w:r>
      <w:bookmarkEnd w:id="23"/>
      <w:r>
        <w:rPr>
          <w:color w:val="000000" w:themeColor="text1"/>
          <w14:textFill>
            <w14:solidFill>
              <w14:schemeClr w14:val="tx1"/>
            </w14:solidFill>
          </w14:textFill>
        </w:rPr>
        <w:t>测量标准及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其他设备</w:t>
      </w:r>
      <w:bookmarkEnd w:id="25"/>
    </w:p>
    <w:p w14:paraId="6E38CB95">
      <w:pPr>
        <w:spacing w:line="360" w:lineRule="auto"/>
        <w:rPr>
          <w:sz w:val="24"/>
          <w:szCs w:val="24"/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6.2.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有证标准物质：国家计量行政部门批准的凝点标准物质，</w:t>
      </w:r>
      <w:r>
        <w:rPr>
          <w:rFonts w:hint="eastAsia" w:ascii="宋体" w:hAnsi="宋体" w:cs="宋体"/>
          <w:sz w:val="24"/>
          <w:szCs w:val="24"/>
        </w:rPr>
        <w:t>扩展不确定度不大于</w:t>
      </w:r>
      <w:r>
        <w:rPr>
          <w:sz w:val="24"/>
          <w:szCs w:val="24"/>
        </w:rPr>
        <w:t>2.8 ℃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/>
          <w:i/>
          <w:iCs/>
          <w:sz w:val="24"/>
          <w:szCs w:val="24"/>
        </w:rPr>
        <w:t>k</w:t>
      </w:r>
      <w:r>
        <w:rPr>
          <w:sz w:val="24"/>
          <w:szCs w:val="24"/>
        </w:rPr>
        <w:t>=2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14:paraId="1D5AF2F1">
      <w:pPr>
        <w:spacing w:line="360" w:lineRule="auto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.2.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测温设备：（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～</w:t>
      </w:r>
      <w:r>
        <w:rPr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60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℃，分度值不大于0.1 ℃，最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大允许误差不超过校准温度点允许误差绝对值的1/3。</w:t>
      </w:r>
    </w:p>
    <w:p w14:paraId="1EA402EA">
      <w:pPr>
        <w:spacing w:line="360" w:lineRule="auto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6.2.3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电子秒表：最大允许误差不超过±0.07 s/10 min。</w:t>
      </w:r>
    </w:p>
    <w:bookmarkEnd w:id="22"/>
    <w:p w14:paraId="6EB1FC9E">
      <w:pPr>
        <w:pStyle w:val="2"/>
        <w:numPr>
          <w:ilvl w:val="0"/>
          <w:numId w:val="14"/>
        </w:numPr>
        <w:spacing w:line="30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6" w:name="_Toc206493355"/>
      <w:r>
        <w:rPr>
          <w:color w:val="000000" w:themeColor="text1"/>
          <w14:textFill>
            <w14:solidFill>
              <w14:schemeClr w14:val="tx1"/>
            </w14:solidFill>
          </w14:textFill>
        </w:rPr>
        <w:t>校准项目和校准方法</w:t>
      </w:r>
      <w:bookmarkEnd w:id="26"/>
    </w:p>
    <w:p w14:paraId="573D6339">
      <w:pPr>
        <w:spacing w:line="360" w:lineRule="auto"/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.1 </w:t>
      </w: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校准前检查</w:t>
      </w:r>
    </w:p>
    <w:p w14:paraId="587F6616">
      <w:pPr>
        <w:spacing w:line="360" w:lineRule="auto"/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.1 </w:t>
      </w: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外观检查</w:t>
      </w:r>
    </w:p>
    <w:p w14:paraId="285D7951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仪器应具有名称、型号、制造厂、出厂编号等标识。仪器各部件齐全且连接良好，各旋钮及按键应能正常工作，无影响使用性能的缺陷。</w:t>
      </w:r>
    </w:p>
    <w:p w14:paraId="7703FD2C">
      <w:pPr>
        <w:spacing w:line="300" w:lineRule="auto"/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.1.2 </w:t>
      </w: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玻璃器皿检查</w:t>
      </w:r>
    </w:p>
    <w:p w14:paraId="00C1FCDC">
      <w:pPr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试管、套管等玻璃器皿应完好、清洁。</w:t>
      </w:r>
    </w:p>
    <w:p w14:paraId="63E85DED">
      <w:pPr>
        <w:spacing w:line="300" w:lineRule="auto"/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.2 </w:t>
      </w: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温度示值误差</w:t>
      </w:r>
    </w:p>
    <w:p w14:paraId="31F31675">
      <w:pPr>
        <w:spacing w:line="360" w:lineRule="auto"/>
        <w:ind w:firstLine="48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在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凝点测定仪</w:t>
      </w: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规定的使用条件下，设定温度</w:t>
      </w:r>
      <w:r>
        <w:rPr>
          <w:i/>
          <w:i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T</w:t>
      </w:r>
      <w:r>
        <w:rPr>
          <w:color w:val="000000" w:themeColor="text1"/>
          <w:sz w:val="24"/>
          <w:szCs w:val="32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待冷浴温度稳定后</w:t>
      </w: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用测温仪</w:t>
      </w: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测量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套管附近冷浴温度，每隔1 min测量1次，重复测量3次。凝点测定仪设定的温度与3次测量结果的算术平均值进行比较，以两者之差作为温度示值误差，如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式（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）所示：</w:t>
      </w:r>
    </w:p>
    <w:p w14:paraId="6D05033F">
      <w:pPr>
        <w:wordWrap w:val="0"/>
        <w:spacing w:line="360" w:lineRule="auto"/>
        <w:ind w:firstLine="480"/>
        <w:jc w:val="righ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Δ</m:t>
        </m:r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T=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−</m:t>
        </m:r>
        <m:acc>
          <m:accPr>
            <m:chr m:val="̄"/>
            <m:ctrlPr>
              <w:rPr>
                <w:rFonts w:ascii="Cambria Math" w:hAnsi="Cambria Math"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accPr>
          <m:e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e>
        </m:acc>
      </m:oMath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（1）</w:t>
      </w:r>
    </w:p>
    <w:p w14:paraId="18E5D103">
      <w:pPr>
        <w:spacing w:line="360" w:lineRule="auto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式中：</w:t>
      </w:r>
    </w:p>
    <w:p w14:paraId="17B7454F">
      <w:pPr>
        <w:spacing w:line="360" w:lineRule="auto"/>
        <w:ind w:firstLine="1024" w:firstLineChars="427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:sz w:val="24"/>
          <w14:textFill>
            <w14:solidFill>
              <w14:schemeClr w14:val="tx1"/>
            </w14:solidFill>
          </w14:textFill>
        </w:rPr>
        <w:object>
          <v:shape id="_x0000_i1025" o:spt="75" type="#_x0000_t75" style="height:13.15pt;width:18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25" DrawAspect="Content" ObjectID="_1468075726" r:id="rId25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——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温度示值误差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，℃；</w:t>
      </w:r>
    </w:p>
    <w:p w14:paraId="6BFA9ADD">
      <w:pPr>
        <w:spacing w:line="360" w:lineRule="auto"/>
        <w:ind w:firstLine="1024" w:firstLineChars="427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T</w:t>
      </w:r>
      <w:r>
        <w:rPr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——凝点测定仪设定温度，℃；</w:t>
      </w:r>
    </w:p>
    <w:p w14:paraId="4E34B6C0">
      <w:pPr>
        <w:pStyle w:val="21"/>
        <w:spacing w:line="360" w:lineRule="auto"/>
        <w:ind w:firstLine="957" w:firstLineChars="399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:sz w:val="24"/>
          <w14:textFill>
            <w14:solidFill>
              <w14:schemeClr w14:val="tx1"/>
            </w14:solidFill>
          </w14:textFill>
        </w:rPr>
        <w:object>
          <v:shape id="_x0000_i1026" o:spt="75" type="#_x0000_t75" style="height:15.05pt;width:11.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26" DrawAspect="Content" ObjectID="_1468075727" r:id="rId27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——测温设备3次测量结果的算术平均值，℃。</w:t>
      </w:r>
    </w:p>
    <w:p w14:paraId="791D09B6">
      <w:pPr>
        <w:spacing w:line="360" w:lineRule="auto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注：无液体工作介质的凝点测定仪不校准此项。</w:t>
      </w:r>
    </w:p>
    <w:p w14:paraId="3ED4F8B3">
      <w:pPr>
        <w:spacing w:line="360" w:lineRule="auto"/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凝点示值误差</w:t>
      </w:r>
    </w:p>
    <w:p w14:paraId="61A1F652">
      <w:pPr>
        <w:spacing w:line="360" w:lineRule="auto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27" w:name="_Toc462838185"/>
      <w:bookmarkStart w:id="28" w:name="mbookmark5"/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7.3.1 手动凝点测定仪</w:t>
      </w:r>
    </w:p>
    <w:p w14:paraId="62AFF6D9">
      <w:pPr>
        <w:pStyle w:val="21"/>
        <w:spacing w:line="360" w:lineRule="auto"/>
        <w:ind w:firstLine="480" w:firstLine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按试验要求开机并设置相关参数。根据仪器量程及客户要求选择合适的凝点标准物质，将标准物质倒入清洁、干燥的试管至刻线处。选用量程与所测标准物质认定值匹配的温度计，用塞子将温度计固定在试管中央，使温度计感温泡底部距试管底部8 mm~10 mm。将装有试样和温度计的试管，垂直地浸入50 ℃±1 ℃的水浴中加热，直至试样温度到50 ℃±1 ℃为止。</w:t>
      </w:r>
      <w:r>
        <w:rPr>
          <w:sz w:val="24"/>
          <w:szCs w:val="24"/>
        </w:rPr>
        <w:t>当试样温度加热到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50 ℃±1 ℃</w:t>
      </w:r>
      <w:r>
        <w:rPr>
          <w:sz w:val="24"/>
          <w:szCs w:val="24"/>
        </w:rPr>
        <w:t xml:space="preserve">时，从水浴中取出装有试样和温度计的试管，擦干后装入套管中，将套管和试管组件垂直固定在支架上，并在室温下静置，直至试样冷却至35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℃±</w:t>
      </w:r>
      <w:r>
        <w:rPr>
          <w:sz w:val="24"/>
          <w:szCs w:val="24"/>
        </w:rPr>
        <w:t xml:space="preserve">5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sz w:val="24"/>
          <w:szCs w:val="24"/>
        </w:rPr>
        <w:t xml:space="preserve">。然后将此组件浸入到冷却浴中，浴槽温度应比试样的预期凝点低7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sz w:val="24"/>
          <w:szCs w:val="24"/>
        </w:rPr>
        <w:t xml:space="preserve">~8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sz w:val="24"/>
          <w:szCs w:val="24"/>
        </w:rPr>
        <w:t xml:space="preserve">。当试验温度冷却到预期凝点时，将浸在冷却浴中的套管和试管组件倾斜，倾斜至与水平成45°，并保持1 min。当试样液面位置有移动时，从套管中取出试管，并将试管重新加热至试样温度达到50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℃±</w:t>
      </w:r>
      <w:r>
        <w:rPr>
          <w:sz w:val="24"/>
          <w:szCs w:val="24"/>
        </w:rPr>
        <w:t xml:space="preserve">1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sz w:val="24"/>
          <w:szCs w:val="24"/>
        </w:rPr>
        <w:t xml:space="preserve">，然后用比上次低4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sz w:val="24"/>
          <w:szCs w:val="24"/>
        </w:rPr>
        <w:t>或其他更低的温度重新进行测定，直至某试验温度能使试样液面停止移动为止。当试样液面的位置没有移动时，从套管中取出试管，并将试管重新预热至试样达到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50 ℃±1 ℃</w:t>
      </w:r>
      <w:r>
        <w:rPr>
          <w:sz w:val="24"/>
          <w:szCs w:val="24"/>
        </w:rPr>
        <w:t xml:space="preserve">，然后用比上次试验温度高4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sz w:val="24"/>
          <w:szCs w:val="24"/>
        </w:rPr>
        <w:t xml:space="preserve">或其他更高的温度重新进行测定。直至某试验温度能使试样液面有移动为止。找出凝点的温度范围（即液面位置从移动到不移动或从不移动到移动的温度范围）之后，选择比试样能够移动的温度低2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sz w:val="24"/>
          <w:szCs w:val="24"/>
        </w:rPr>
        <w:t xml:space="preserve">，或比试样不能移动的温度高2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sz w:val="24"/>
          <w:szCs w:val="24"/>
        </w:rPr>
        <w:t xml:space="preserve">，重新进行试验。直至确定某试验温度能使试样液面停止移动而升高2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sz w:val="24"/>
          <w:szCs w:val="24"/>
        </w:rPr>
        <w:t>试样液面又能够移动时，取试样液面不移动的温度，作为试样的凝点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。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选择相同编号且同一批次的标准物质，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按上述步骤重复测量，分别得到</w:t>
      </w:r>
      <w:r>
        <w:rPr>
          <w:color w:val="000000" w:themeColor="text1"/>
          <w:position w:val="-10"/>
          <w:sz w:val="24"/>
          <w14:textFill>
            <w14:solidFill>
              <w14:schemeClr w14:val="tx1"/>
            </w14:solidFill>
          </w14:textFill>
        </w:rPr>
        <w:object>
          <v:shape id="_x0000_i1027" o:spt="75" type="#_x0000_t75" style="height:16.9pt;width:13.1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27" DrawAspect="Content" ObjectID="_1468075728" r:id="rId29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position w:val="-12"/>
          <w:sz w:val="24"/>
          <w14:textFill>
            <w14:solidFill>
              <w14:schemeClr w14:val="tx1"/>
            </w14:solidFill>
          </w14:textFill>
        </w:rPr>
        <w:object>
          <v:shape id="_x0000_i1028" o:spt="75" type="#_x0000_t75" style="height:18.15pt;width:11.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28" DrawAspect="Content" ObjectID="_1468075729" r:id="rId31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。按式（2）计算凝点示值误差。</w:t>
      </w:r>
    </w:p>
    <w:p w14:paraId="65BD9DF5">
      <w:pPr>
        <w:pStyle w:val="23"/>
        <w:spacing w:line="30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ascii="Cambria Math" w:hAnsi="Times New Roman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Δ</m:t>
        </m:r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Times New Roman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Times New Roman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accPr>
              <m:e>
                <m:r>
                  <m:rPr/>
                  <w:rPr>
                    <w:rFonts w:ascii="Cambria Math" w:hAnsi="Times New Roman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T</m:t>
                </m:r>
                <m:ctrlPr>
                  <w:rPr>
                    <w:rFonts w:ascii="Cambria Math" w:hAnsi="Times New Roman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acc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Times New Roman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−</m:t>
        </m:r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r>
              <m:rPr>
                <m:sty m:val="p"/>
              </m:rPr>
              <w:rPr>
                <w:rFonts w:hint="eastAsia"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 w14:paraId="5ADA4A6A">
      <w:pPr>
        <w:pStyle w:val="23"/>
        <w:spacing w:line="30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式中：</w:t>
      </w:r>
    </w:p>
    <w:p w14:paraId="798209DA">
      <w:pPr>
        <w:pStyle w:val="23"/>
        <w:spacing w:line="30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ascii="Cambria Math" w:hAnsi="Times New Roman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Δ</m:t>
        </m:r>
        <m:sSub>
          <m:sSubPr>
            <m:ctrlPr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凝点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示值误差，℃；</w:t>
      </w:r>
    </w:p>
    <w:p w14:paraId="1C93518F">
      <w:pPr>
        <w:pStyle w:val="23"/>
        <w:spacing w:line="30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accPr>
              <m:e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T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acc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3次测量值</w:t>
      </w:r>
      <w:r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9" o:spt="75" type="#_x0000_t75" style="height:16.9pt;width:11.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29" DrawAspect="Content" ObjectID="_1468075730" r:id="rId33">
            <o:LockedField>false</o:LockedField>
          </o:OLEObject>
        </w:object>
      </w:r>
      <w:r>
        <w:rPr>
          <w:rFonts w:ascii="Times New Roman" w:hAnsi="Times New Roman" w:cs="Times New Roman"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0" o:spt="75" type="#_x0000_t75" style="height:16.9pt;width:13.1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0" DrawAspect="Content" ObjectID="_1468075731" r:id="rId35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cs="Times New Roman"/>
          <w:color w:val="000000" w:themeColor="text1"/>
          <w:position w:val="-12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1" o:spt="75" type="#_x0000_t75" style="height:18.15pt;width:11.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1" DrawAspect="Content" ObjectID="_1468075732" r:id="rId36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的算术平均值，℃；</w:t>
      </w:r>
    </w:p>
    <w:p w14:paraId="7C613041">
      <w:pPr>
        <w:pStyle w:val="23"/>
        <w:spacing w:line="30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ss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凝点标准物质认定值，℃。</w:t>
      </w:r>
    </w:p>
    <w:p w14:paraId="4C25ABF3">
      <w:pPr>
        <w:spacing w:line="360" w:lineRule="auto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7.3.2 自动凝点测定仪</w:t>
      </w:r>
    </w:p>
    <w:p w14:paraId="5C395DC2">
      <w:pPr>
        <w:pStyle w:val="21"/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按照使用说明书要求开机预热，并设置相关参数。根据仪器量程及客户要求选择合适的凝点标准物质。取一定量的试样，按照自动凝点测定仪的说明书选择合适试验程序开始试验，测试完成后记录测定结果</w:t>
      </w:r>
      <w:r>
        <w:rPr>
          <w:color w:val="000000" w:themeColor="text1"/>
          <w:position w:val="-10"/>
          <w:sz w:val="24"/>
          <w14:textFill>
            <w14:solidFill>
              <w14:schemeClr w14:val="tx1"/>
            </w14:solidFill>
          </w14:textFill>
        </w:rPr>
        <w:object>
          <v:shape id="_x0000_i1032" o:spt="75" type="#_x0000_t75" style="height:16.9pt;width:11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2" DrawAspect="Content" ObjectID="_1468075733" r:id="rId37">
            <o:LockedField>false</o:LockedField>
          </o:OLEObject>
        </w:objec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选择相同编号且同一批次的标准物质，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按上述步骤重复测量，分别得到</w:t>
      </w:r>
      <w:r>
        <w:rPr>
          <w:color w:val="000000" w:themeColor="text1"/>
          <w:position w:val="-10"/>
          <w:sz w:val="24"/>
          <w14:textFill>
            <w14:solidFill>
              <w14:schemeClr w14:val="tx1"/>
            </w14:solidFill>
          </w14:textFill>
        </w:rPr>
        <w:object>
          <v:shape id="_x0000_i1033" o:spt="75" type="#_x0000_t75" style="height:16.9pt;width:13.1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3" DrawAspect="Content" ObjectID="_1468075734" r:id="rId39">
            <o:LockedField>false</o:LockedField>
          </o:OLEObject>
        </w:objec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position w:val="-12"/>
          <w:sz w:val="24"/>
          <w14:textFill>
            <w14:solidFill>
              <w14:schemeClr w14:val="tx1"/>
            </w14:solidFill>
          </w14:textFill>
        </w:rPr>
        <w:object>
          <v:shape id="_x0000_i1034" o:spt="75" type="#_x0000_t75" style="height:18.15pt;width:11.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4" DrawAspect="Content" ObjectID="_1468075735" r:id="rId40">
            <o:LockedField>false</o:LockedField>
          </o:OLEObject>
        </w:objec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按式（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）计算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凝点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示值误差。</w:t>
      </w:r>
    </w:p>
    <w:p w14:paraId="7967E660">
      <w:pPr>
        <w:spacing w:line="360" w:lineRule="auto"/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凝点示值重复性</w:t>
      </w:r>
    </w:p>
    <w:p w14:paraId="2187E256">
      <w:pPr>
        <w:pStyle w:val="23"/>
        <w:spacing w:line="36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7.3</w:t>
      </w: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中的测试结果，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按式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计算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凝点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重复性。</w:t>
      </w:r>
    </w:p>
    <w:p w14:paraId="6051975E">
      <w:pPr>
        <w:pStyle w:val="23"/>
        <w:spacing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i/>
          <w:color w:val="000000" w:themeColor="text1"/>
          <w:position w:val="-12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5" o:spt="75" type="#_x0000_t75" style="height:18.15pt;width:68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5" DrawAspect="Content" ObjectID="_1468075736" r:id="rId41">
            <o:LockedField>false</o:LockedField>
          </o:OLEObject>
        </w:objec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（3）</w:t>
      </w:r>
    </w:p>
    <w:p w14:paraId="22A0B51D">
      <w:pPr>
        <w:pStyle w:val="23"/>
        <w:spacing w:line="36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式中：</w:t>
      </w:r>
    </w:p>
    <w:p w14:paraId="0155E09C">
      <w:pPr>
        <w:pStyle w:val="23"/>
        <w:spacing w:line="36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position w:val="-6"/>
          <w:sz w:val="24"/>
          <w14:textFill>
            <w14:solidFill>
              <w14:schemeClr w14:val="tx1"/>
            </w14:solidFill>
          </w14:textFill>
        </w:rPr>
        <w:object>
          <v:shape id="_x0000_i1036" o:spt="75" type="#_x0000_t75" style="height:13.75pt;width:11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36" DrawAspect="Content" ObjectID="_1468075737" r:id="rId43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凝点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重复性，℃；</w:t>
      </w:r>
    </w:p>
    <w:p w14:paraId="73DCF177">
      <w:pPr>
        <w:pStyle w:val="21"/>
        <w:spacing w:line="360" w:lineRule="auto"/>
        <w:ind w:firstLine="480" w:firstLine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2"/>
          <w:sz w:val="24"/>
          <w14:textFill>
            <w14:solidFill>
              <w14:schemeClr w14:val="tx1"/>
            </w14:solidFill>
          </w14:textFill>
        </w:rPr>
        <w:object>
          <v:shape id="_x0000_i1037" o:spt="75" type="#_x0000_t75" style="height:18.15pt;width:21.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37" DrawAspect="Content" ObjectID="_1468075738" r:id="rId45">
            <o:LockedField>false</o:LockedField>
          </o:OLEObject>
        </w:object>
      </w:r>
      <w:r>
        <w:rPr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:sz w:val="24"/>
          <w14:textFill>
            <w14:solidFill>
              <w14:schemeClr w14:val="tx1"/>
            </w14:solidFill>
          </w14:textFill>
        </w:rPr>
        <w:object>
          <v:shape id="_x0000_i1038" o:spt="75" type="#_x0000_t75" style="height:16.9pt;width:21.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38" DrawAspect="Content" ObjectID="_1468075739" r:id="rId47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——3次凝点测量结果中的最大值和最小值，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℃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 w14:paraId="56666D6A">
      <w:pPr>
        <w:pStyle w:val="2"/>
        <w:numPr>
          <w:ilvl w:val="0"/>
          <w:numId w:val="14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9" w:name="_Toc206493356"/>
      <w:r>
        <w:rPr>
          <w:color w:val="000000" w:themeColor="text1"/>
          <w14:textFill>
            <w14:solidFill>
              <w14:schemeClr w14:val="tx1"/>
            </w14:solidFill>
          </w14:textFill>
        </w:rPr>
        <w:t>校准结果</w:t>
      </w:r>
      <w:bookmarkEnd w:id="27"/>
      <w:r>
        <w:rPr>
          <w:color w:val="000000" w:themeColor="text1"/>
          <w14:textFill>
            <w14:solidFill>
              <w14:schemeClr w14:val="tx1"/>
            </w14:solidFill>
          </w14:textFill>
        </w:rPr>
        <w:t>表达</w:t>
      </w:r>
      <w:bookmarkEnd w:id="29"/>
    </w:p>
    <w:p w14:paraId="0DE3C382">
      <w:pPr>
        <w:spacing w:line="360" w:lineRule="auto"/>
        <w:ind w:firstLine="480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30" w:name="_Toc462838186"/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校准结果应在校准证书上反映。校准证书应至少包括以下信息：</w:t>
      </w:r>
    </w:p>
    <w:p w14:paraId="51A5F0C7">
      <w:pPr>
        <w:spacing w:line="360" w:lineRule="auto"/>
        <w:ind w:firstLine="4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a) 标题：“校准证书”；</w:t>
      </w:r>
    </w:p>
    <w:p w14:paraId="4A78A65E">
      <w:pPr>
        <w:spacing w:line="360" w:lineRule="auto"/>
        <w:ind w:firstLine="4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b) 实验室名称和地址；</w:t>
      </w:r>
    </w:p>
    <w:p w14:paraId="70B9C33E">
      <w:pPr>
        <w:spacing w:line="360" w:lineRule="auto"/>
        <w:ind w:firstLine="4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c) 进行校准的地点（如果与实验室的地址不同）；</w:t>
      </w:r>
    </w:p>
    <w:p w14:paraId="6A9A09BC">
      <w:pPr>
        <w:spacing w:line="360" w:lineRule="auto"/>
        <w:ind w:firstLine="4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d) 证书的唯一性标识（如编号），每页及总页数的标识；</w:t>
      </w:r>
    </w:p>
    <w:p w14:paraId="019C2530">
      <w:pPr>
        <w:snapToGrid w:val="0"/>
        <w:spacing w:line="360" w:lineRule="auto"/>
        <w:ind w:firstLine="482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e) 客户名称和地址；</w:t>
      </w:r>
    </w:p>
    <w:p w14:paraId="5D847268">
      <w:pPr>
        <w:snapToGrid w:val="0"/>
        <w:spacing w:line="360" w:lineRule="auto"/>
        <w:ind w:firstLine="482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f) 被校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对象的描述和明确标识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 w14:paraId="1C4B2619">
      <w:pPr>
        <w:snapToGrid w:val="0"/>
        <w:spacing w:line="360" w:lineRule="auto"/>
        <w:ind w:firstLine="482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g) 进行校准的日期，如果与校准结果的有效性和应用有关时，应说明被校对象的接收日期；</w:t>
      </w:r>
    </w:p>
    <w:p w14:paraId="54A38431">
      <w:pPr>
        <w:snapToGrid w:val="0"/>
        <w:spacing w:line="360" w:lineRule="auto"/>
        <w:ind w:firstLine="482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)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如果与校准结果的有效性或应用有关时，应对被校样品的抽样程序进行说明；</w:t>
      </w:r>
    </w:p>
    <w:p w14:paraId="34CE1FD6">
      <w:pPr>
        <w:snapToGrid w:val="0"/>
        <w:spacing w:line="360" w:lineRule="auto"/>
        <w:ind w:firstLine="482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i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 校准所依据的技术规范的标识，包括名称及代号；</w:t>
      </w:r>
    </w:p>
    <w:p w14:paraId="03271090">
      <w:pPr>
        <w:snapToGrid w:val="0"/>
        <w:spacing w:line="360" w:lineRule="auto"/>
        <w:ind w:firstLine="482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j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 本次校准所用测量标准的溯源性及有效性说明；</w:t>
      </w:r>
    </w:p>
    <w:p w14:paraId="40FAD906">
      <w:pPr>
        <w:snapToGrid w:val="0"/>
        <w:spacing w:line="360" w:lineRule="auto"/>
        <w:ind w:firstLine="482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k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校准环境的描述；</w:t>
      </w:r>
    </w:p>
    <w:p w14:paraId="53E6B29F">
      <w:pPr>
        <w:spacing w:line="360" w:lineRule="auto"/>
        <w:ind w:firstLine="4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l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 校准结果及其测量不确定度的说明；</w:t>
      </w:r>
    </w:p>
    <w:p w14:paraId="51EF948A">
      <w:pPr>
        <w:spacing w:line="360" w:lineRule="auto"/>
        <w:ind w:firstLine="4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 对校准规范的偏离的说明（如有）；</w:t>
      </w:r>
    </w:p>
    <w:p w14:paraId="581AD130">
      <w:pPr>
        <w:spacing w:line="360" w:lineRule="auto"/>
        <w:ind w:firstLine="4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 校准证书或校准报告签发人的签名、职务或等效标识；</w:t>
      </w:r>
    </w:p>
    <w:p w14:paraId="65240FA2">
      <w:pPr>
        <w:spacing w:line="360" w:lineRule="auto"/>
        <w:ind w:firstLine="4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o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 校准结果仅对被校对象有效的声明；</w:t>
      </w:r>
    </w:p>
    <w:p w14:paraId="477272BD">
      <w:pPr>
        <w:spacing w:line="360" w:lineRule="auto"/>
        <w:ind w:firstLine="48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 未经实验室书面批准，不得部分复制证书的声明。</w:t>
      </w:r>
    </w:p>
    <w:p w14:paraId="604CEBA6">
      <w:pPr>
        <w:pStyle w:val="2"/>
        <w:numPr>
          <w:ilvl w:val="0"/>
          <w:numId w:val="14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1" w:name="_Toc206493357"/>
      <w:r>
        <w:rPr>
          <w:color w:val="000000" w:themeColor="text1"/>
          <w14:textFill>
            <w14:solidFill>
              <w14:schemeClr w14:val="tx1"/>
            </w14:solidFill>
          </w14:textFill>
        </w:rPr>
        <w:t>复校时间间隔</w:t>
      </w:r>
      <w:bookmarkEnd w:id="30"/>
      <w:bookmarkEnd w:id="31"/>
    </w:p>
    <w:p w14:paraId="1D8EA136">
      <w:pPr>
        <w:pStyle w:val="110"/>
        <w:numPr>
          <w:ilvl w:val="0"/>
          <w:numId w:val="3"/>
        </w:numPr>
        <w:snapToGrid w:val="0"/>
        <w:spacing w:line="360" w:lineRule="auto"/>
        <w:ind w:firstLineChars="0"/>
        <w:jc w:val="left"/>
        <w:rPr>
          <w:color w:val="000000" w:themeColor="text1"/>
          <w:sz w:val="24"/>
          <w:highlight w:val="gree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凝点测定仪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复校时间间隔建议为1年。由于复校时间间隔的长短是由仪器的使用情况、使用者、仪器本身质量等诸因素所决定的，因此送校单位可根据实际使用情况自主决定复校时间间隔。</w:t>
      </w:r>
    </w:p>
    <w:p w14:paraId="60C5324C">
      <w:pPr>
        <w:snapToGrid w:val="0"/>
        <w:spacing w:line="360" w:lineRule="auto"/>
        <w:jc w:val="left"/>
        <w:rPr>
          <w:color w:val="000000" w:themeColor="text1"/>
          <w:sz w:val="24"/>
          <w:highlight w:val="green"/>
          <w14:textFill>
            <w14:solidFill>
              <w14:schemeClr w14:val="tx1"/>
            </w14:solidFill>
          </w14:textFill>
        </w:rPr>
        <w:sectPr>
          <w:footerReference r:id="rId16" w:type="default"/>
          <w:footnotePr>
            <w:numFmt w:val="decimalEnclosedCircleChinese"/>
          </w:footnotePr>
          <w:type w:val="oddPage"/>
          <w:pgSz w:w="11906" w:h="16838"/>
          <w:pgMar w:top="1871" w:right="1418" w:bottom="1418" w:left="1418" w:header="1418" w:footer="1077" w:gutter="0"/>
          <w:pgNumType w:start="1"/>
          <w:cols w:space="720" w:num="1"/>
          <w:docGrid w:linePitch="286" w:charSpace="0"/>
        </w:sectPr>
      </w:pPr>
    </w:p>
    <w:bookmarkEnd w:id="3"/>
    <w:bookmarkEnd w:id="28"/>
    <w:p w14:paraId="0E9DCA44">
      <w:pPr>
        <w:pStyle w:val="2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32" w:name="_Toc288818278"/>
      <w:bookmarkEnd w:id="32"/>
      <w:bookmarkStart w:id="33" w:name="_Toc3362228"/>
      <w:bookmarkEnd w:id="33"/>
      <w:bookmarkStart w:id="34" w:name="_Toc288818399"/>
      <w:bookmarkEnd w:id="34"/>
      <w:bookmarkStart w:id="35" w:name="_Toc357516994"/>
      <w:bookmarkEnd w:id="35"/>
      <w:bookmarkStart w:id="36" w:name="_Toc29940"/>
      <w:bookmarkEnd w:id="36"/>
      <w:bookmarkStart w:id="37" w:name="_Toc462838187"/>
      <w:bookmarkEnd w:id="37"/>
      <w:bookmarkStart w:id="38" w:name="_Toc357504978"/>
      <w:bookmarkEnd w:id="38"/>
      <w:bookmarkStart w:id="39" w:name="_Toc4841"/>
      <w:bookmarkEnd w:id="39"/>
      <w:bookmarkStart w:id="40" w:name="_Toc461026477"/>
      <w:bookmarkEnd w:id="40"/>
      <w:bookmarkStart w:id="41" w:name="_Toc457983171"/>
      <w:bookmarkEnd w:id="41"/>
      <w:bookmarkStart w:id="42" w:name="_Toc206493358"/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附录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</w:t>
      </w:r>
      <w:bookmarkEnd w:id="42"/>
    </w:p>
    <w:p w14:paraId="30A69BA6">
      <w:pPr>
        <w:widowControl/>
        <w:spacing w:line="360" w:lineRule="auto"/>
        <w:jc w:val="center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凝点测定仪</w:t>
      </w: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校准原始记录</w:t>
      </w: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参考</w:t>
      </w: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格式</w:t>
      </w:r>
    </w:p>
    <w:tbl>
      <w:tblPr>
        <w:tblStyle w:val="179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24"/>
        <w:gridCol w:w="134"/>
        <w:gridCol w:w="1551"/>
        <w:gridCol w:w="1193"/>
        <w:gridCol w:w="1130"/>
        <w:gridCol w:w="701"/>
        <w:gridCol w:w="1042"/>
        <w:gridCol w:w="1705"/>
      </w:tblGrid>
      <w:tr w14:paraId="21038E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pct"/>
            <w:gridSpan w:val="2"/>
          </w:tcPr>
          <w:p w14:paraId="62FCB0D3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送校单位</w:t>
            </w:r>
          </w:p>
        </w:tc>
        <w:tc>
          <w:tcPr>
            <w:tcW w:w="4032" w:type="pct"/>
            <w:gridSpan w:val="6"/>
          </w:tcPr>
          <w:p w14:paraId="0ABB7CD2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03C3DF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968" w:type="pct"/>
            <w:gridSpan w:val="2"/>
          </w:tcPr>
          <w:p w14:paraId="50376364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仪器名称</w:t>
            </w:r>
          </w:p>
        </w:tc>
        <w:tc>
          <w:tcPr>
            <w:tcW w:w="1511" w:type="pct"/>
            <w:gridSpan w:val="2"/>
          </w:tcPr>
          <w:p w14:paraId="30079753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08" w:type="pct"/>
            <w:gridSpan w:val="2"/>
          </w:tcPr>
          <w:p w14:paraId="6F1CB24B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5"/>
                <w:sz w:val="21"/>
                <w:szCs w:val="21"/>
              </w:rPr>
              <w:t>型号</w:t>
            </w:r>
          </w:p>
        </w:tc>
        <w:tc>
          <w:tcPr>
            <w:tcW w:w="1513" w:type="pct"/>
            <w:gridSpan w:val="2"/>
          </w:tcPr>
          <w:p w14:paraId="78749BFC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7359D7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pct"/>
            <w:gridSpan w:val="2"/>
          </w:tcPr>
          <w:p w14:paraId="099A43EC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制造厂</w:t>
            </w:r>
          </w:p>
        </w:tc>
        <w:tc>
          <w:tcPr>
            <w:tcW w:w="1511" w:type="pct"/>
            <w:gridSpan w:val="2"/>
          </w:tcPr>
          <w:p w14:paraId="6B6E0F1C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08" w:type="pct"/>
            <w:gridSpan w:val="2"/>
          </w:tcPr>
          <w:p w14:paraId="579DE7CE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出厂编号</w:t>
            </w:r>
          </w:p>
        </w:tc>
        <w:tc>
          <w:tcPr>
            <w:tcW w:w="1513" w:type="pct"/>
            <w:gridSpan w:val="2"/>
          </w:tcPr>
          <w:p w14:paraId="2DECC8A0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4C804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pct"/>
            <w:gridSpan w:val="2"/>
          </w:tcPr>
          <w:p w14:paraId="770625DF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客户地址</w:t>
            </w:r>
          </w:p>
        </w:tc>
        <w:tc>
          <w:tcPr>
            <w:tcW w:w="1511" w:type="pct"/>
            <w:gridSpan w:val="2"/>
          </w:tcPr>
          <w:p w14:paraId="2F79A238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08" w:type="pct"/>
            <w:gridSpan w:val="2"/>
          </w:tcPr>
          <w:p w14:paraId="3B111D3E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校准地点</w:t>
            </w:r>
          </w:p>
        </w:tc>
        <w:tc>
          <w:tcPr>
            <w:tcW w:w="1513" w:type="pct"/>
            <w:gridSpan w:val="2"/>
          </w:tcPr>
          <w:p w14:paraId="7A060D33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05C8F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pct"/>
            <w:gridSpan w:val="2"/>
          </w:tcPr>
          <w:p w14:paraId="5D94CCCA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接收日期</w:t>
            </w:r>
          </w:p>
        </w:tc>
        <w:tc>
          <w:tcPr>
            <w:tcW w:w="1511" w:type="pct"/>
            <w:gridSpan w:val="2"/>
          </w:tcPr>
          <w:p w14:paraId="385276AF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08" w:type="pct"/>
            <w:gridSpan w:val="2"/>
          </w:tcPr>
          <w:p w14:paraId="63B070C4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校准日期</w:t>
            </w:r>
          </w:p>
        </w:tc>
        <w:tc>
          <w:tcPr>
            <w:tcW w:w="1513" w:type="pct"/>
            <w:gridSpan w:val="2"/>
          </w:tcPr>
          <w:p w14:paraId="7437B3F4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7D7E2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pct"/>
            <w:gridSpan w:val="2"/>
          </w:tcPr>
          <w:p w14:paraId="230264CD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环境温度/℃</w:t>
            </w:r>
          </w:p>
        </w:tc>
        <w:tc>
          <w:tcPr>
            <w:tcW w:w="1511" w:type="pct"/>
            <w:gridSpan w:val="2"/>
          </w:tcPr>
          <w:p w14:paraId="5B99321B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08" w:type="pct"/>
            <w:gridSpan w:val="2"/>
          </w:tcPr>
          <w:p w14:paraId="73A2BD39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3"/>
                <w:sz w:val="21"/>
                <w:szCs w:val="21"/>
              </w:rPr>
              <w:t>湿度/%</w:t>
            </w: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RH</w:t>
            </w:r>
          </w:p>
        </w:tc>
        <w:tc>
          <w:tcPr>
            <w:tcW w:w="1513" w:type="pct"/>
            <w:gridSpan w:val="2"/>
          </w:tcPr>
          <w:p w14:paraId="3B0E993E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4A55B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pct"/>
            <w:gridSpan w:val="2"/>
          </w:tcPr>
          <w:p w14:paraId="65498170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依据技术文件</w:t>
            </w:r>
          </w:p>
        </w:tc>
        <w:tc>
          <w:tcPr>
            <w:tcW w:w="4032" w:type="pct"/>
            <w:gridSpan w:val="6"/>
          </w:tcPr>
          <w:p w14:paraId="47E108D3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322E69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pct"/>
            <w:gridSpan w:val="2"/>
          </w:tcPr>
          <w:p w14:paraId="3BEE6914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校准周期</w:t>
            </w:r>
          </w:p>
        </w:tc>
        <w:tc>
          <w:tcPr>
            <w:tcW w:w="4032" w:type="pct"/>
            <w:gridSpan w:val="6"/>
          </w:tcPr>
          <w:p w14:paraId="4441FA5C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09BE6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968" w:type="pct"/>
            <w:gridSpan w:val="2"/>
          </w:tcPr>
          <w:p w14:paraId="1E3C44E0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校准员</w:t>
            </w:r>
          </w:p>
        </w:tc>
        <w:tc>
          <w:tcPr>
            <w:tcW w:w="1511" w:type="pct"/>
            <w:gridSpan w:val="2"/>
          </w:tcPr>
          <w:p w14:paraId="731A13B0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08" w:type="pct"/>
            <w:gridSpan w:val="2"/>
          </w:tcPr>
          <w:p w14:paraId="37866D87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记录编号</w:t>
            </w:r>
          </w:p>
        </w:tc>
        <w:tc>
          <w:tcPr>
            <w:tcW w:w="1513" w:type="pct"/>
            <w:gridSpan w:val="2"/>
          </w:tcPr>
          <w:p w14:paraId="5043DAE2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1B420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8" w:type="pct"/>
            <w:gridSpan w:val="2"/>
          </w:tcPr>
          <w:p w14:paraId="441C8CC3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核验员</w:t>
            </w:r>
          </w:p>
        </w:tc>
        <w:tc>
          <w:tcPr>
            <w:tcW w:w="1511" w:type="pct"/>
            <w:gridSpan w:val="2"/>
          </w:tcPr>
          <w:p w14:paraId="11C7B02B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08" w:type="pct"/>
            <w:gridSpan w:val="2"/>
          </w:tcPr>
          <w:p w14:paraId="046D5CA8">
            <w:pPr>
              <w:pStyle w:val="180"/>
              <w:adjustRightInd w:val="0"/>
              <w:snapToGrid w:val="0"/>
              <w:spacing w:line="262" w:lineRule="exact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证书编号</w:t>
            </w:r>
          </w:p>
        </w:tc>
        <w:tc>
          <w:tcPr>
            <w:tcW w:w="1513" w:type="pct"/>
            <w:gridSpan w:val="2"/>
          </w:tcPr>
          <w:p w14:paraId="37C40895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5B3E2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000" w:type="pct"/>
            <w:gridSpan w:val="8"/>
          </w:tcPr>
          <w:p w14:paraId="503E2BFB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2"/>
                <w:sz w:val="21"/>
                <w:szCs w:val="21"/>
              </w:rPr>
              <w:t>校准使用的计量基（标）准装置（含标准物质）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 w:eastAsiaTheme="minorEastAsia"/>
                <w:spacing w:val="-5"/>
                <w:sz w:val="21"/>
                <w:szCs w:val="21"/>
              </w:rPr>
              <w:t>主要仪器</w:t>
            </w:r>
          </w:p>
        </w:tc>
      </w:tr>
      <w:tr w14:paraId="77451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894" w:type="pct"/>
          </w:tcPr>
          <w:p w14:paraId="11EBC2C7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z w:val="21"/>
                <w:szCs w:val="21"/>
              </w:rPr>
              <w:t>名</w:t>
            </w:r>
            <w:r>
              <w:rPr>
                <w:rFonts w:ascii="Times New Roman" w:hAnsi="Times New Roman" w:cs="Times New Roman" w:eastAsiaTheme="minorEastAsia"/>
                <w:spacing w:val="53"/>
                <w:w w:val="15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pacing w:val="-10"/>
                <w:sz w:val="21"/>
                <w:szCs w:val="21"/>
              </w:rPr>
              <w:t>称</w:t>
            </w:r>
          </w:p>
        </w:tc>
        <w:tc>
          <w:tcPr>
            <w:tcW w:w="928" w:type="pct"/>
            <w:gridSpan w:val="2"/>
          </w:tcPr>
          <w:p w14:paraId="3218EC36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测量范围</w:t>
            </w:r>
          </w:p>
        </w:tc>
        <w:tc>
          <w:tcPr>
            <w:tcW w:w="1279" w:type="pct"/>
            <w:gridSpan w:val="2"/>
          </w:tcPr>
          <w:p w14:paraId="69519DA9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2"/>
                <w:sz w:val="21"/>
                <w:szCs w:val="21"/>
              </w:rPr>
              <w:t>不确定度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准确度等级</w:t>
            </w:r>
          </w:p>
        </w:tc>
        <w:tc>
          <w:tcPr>
            <w:tcW w:w="960" w:type="pct"/>
            <w:gridSpan w:val="2"/>
          </w:tcPr>
          <w:p w14:paraId="38362990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证书编号</w:t>
            </w:r>
          </w:p>
        </w:tc>
        <w:tc>
          <w:tcPr>
            <w:tcW w:w="939" w:type="pct"/>
          </w:tcPr>
          <w:p w14:paraId="5656E958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  <w:szCs w:val="21"/>
              </w:rPr>
              <w:t>证书有效期至</w:t>
            </w:r>
          </w:p>
        </w:tc>
      </w:tr>
      <w:tr w14:paraId="57C62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894" w:type="pct"/>
          </w:tcPr>
          <w:p w14:paraId="20D058FD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8" w:type="pct"/>
            <w:gridSpan w:val="2"/>
          </w:tcPr>
          <w:p w14:paraId="0DCE7F16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79" w:type="pct"/>
            <w:gridSpan w:val="2"/>
          </w:tcPr>
          <w:p w14:paraId="5781468E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60" w:type="pct"/>
            <w:gridSpan w:val="2"/>
          </w:tcPr>
          <w:p w14:paraId="332684FD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39" w:type="pct"/>
          </w:tcPr>
          <w:p w14:paraId="141E0FF0">
            <w:pPr>
              <w:pStyle w:val="180"/>
              <w:adjustRightInd w:val="0"/>
              <w:snapToGrid w:val="0"/>
              <w:rPr>
                <w:rFonts w:ascii="Times New Roman" w:hAnsi="Times New Roman" w:cs="Times New Roman" w:eastAsiaTheme="minorEastAsia"/>
                <w:sz w:val="21"/>
                <w:szCs w:val="21"/>
              </w:rPr>
            </w:pPr>
          </w:p>
        </w:tc>
      </w:tr>
    </w:tbl>
    <w:p w14:paraId="5E1A2252">
      <w:pPr>
        <w:pStyle w:val="23"/>
        <w:numPr>
          <w:ilvl w:val="255"/>
          <w:numId w:val="0"/>
        </w:numPr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1.外观检查</w:t>
      </w:r>
    </w:p>
    <w:tbl>
      <w:tblPr>
        <w:tblStyle w:val="179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04"/>
        <w:gridCol w:w="4576"/>
      </w:tblGrid>
      <w:tr w14:paraId="3AD86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2480" w:type="pct"/>
          </w:tcPr>
          <w:p w14:paraId="495495FB">
            <w:pPr>
              <w:pStyle w:val="180"/>
              <w:spacing w:before="80" w:line="262" w:lineRule="exact"/>
              <w:ind w:left="107"/>
              <w:rPr>
                <w:rFonts w:ascii="Times New Roman" w:hAnsi="Times New Roman" w:cs="Times New Roman" w:eastAsiaTheme="minorEastAsia"/>
                <w:sz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外观检查</w:t>
            </w:r>
          </w:p>
        </w:tc>
        <w:tc>
          <w:tcPr>
            <w:tcW w:w="2520" w:type="pct"/>
          </w:tcPr>
          <w:p w14:paraId="53133148">
            <w:pPr>
              <w:pStyle w:val="180"/>
              <w:tabs>
                <w:tab w:val="left" w:pos="1477"/>
              </w:tabs>
              <w:spacing w:before="80" w:line="262" w:lineRule="exact"/>
              <w:ind w:left="6"/>
              <w:jc w:val="center"/>
              <w:rPr>
                <w:rFonts w:ascii="Times New Roman" w:hAnsi="Times New Roman" w:cs="Times New Roman" w:eastAsiaTheme="minorEastAsia"/>
                <w:sz w:val="21"/>
              </w:rPr>
            </w:pPr>
            <w:r>
              <w:rPr>
                <w:rFonts w:cs="Times New Roman" w:asciiTheme="majorEastAsia" w:hAnsiTheme="majorEastAsia" w:eastAsiaTheme="majorEastAsia"/>
                <w:sz w:val="21"/>
              </w:rPr>
              <w:t>□</w:t>
            </w:r>
            <w:r>
              <w:rPr>
                <w:rFonts w:cs="Times New Roman" w:asciiTheme="majorEastAsia" w:hAnsiTheme="majorEastAsia" w:eastAsiaTheme="majorEastAsia"/>
                <w:spacing w:val="-3"/>
                <w:sz w:val="21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1"/>
              </w:rPr>
              <w:t>符</w:t>
            </w:r>
            <w:r>
              <w:rPr>
                <w:rFonts w:ascii="Times New Roman" w:hAnsi="Times New Roman" w:cs="Times New Roman" w:eastAsiaTheme="minorEastAsia"/>
                <w:spacing w:val="-10"/>
                <w:sz w:val="21"/>
              </w:rPr>
              <w:t>合</w:t>
            </w:r>
            <w:r>
              <w:rPr>
                <w:rFonts w:ascii="Times New Roman" w:hAnsi="Times New Roman" w:cs="Times New Roman" w:eastAsiaTheme="minorEastAsia"/>
                <w:sz w:val="21"/>
              </w:rPr>
              <w:tab/>
            </w:r>
            <w:r>
              <w:rPr>
                <w:rFonts w:cs="Times New Roman" w:asciiTheme="minorEastAsia" w:hAnsiTheme="minorEastAsia" w:eastAsiaTheme="minorEastAsia"/>
                <w:sz w:val="21"/>
              </w:rPr>
              <w:t>□</w:t>
            </w:r>
            <w:r>
              <w:rPr>
                <w:rFonts w:cs="Times New Roman" w:asciiTheme="minorEastAsia" w:hAnsiTheme="minorEastAsia" w:eastAsiaTheme="minorEastAsia"/>
                <w:spacing w:val="-5"/>
                <w:sz w:val="21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1"/>
              </w:rPr>
              <w:t>不符</w:t>
            </w:r>
            <w:r>
              <w:rPr>
                <w:rFonts w:ascii="Times New Roman" w:hAnsi="Times New Roman" w:cs="Times New Roman" w:eastAsiaTheme="minorEastAsia"/>
                <w:spacing w:val="-10"/>
                <w:sz w:val="21"/>
              </w:rPr>
              <w:t>合</w:t>
            </w:r>
          </w:p>
        </w:tc>
      </w:tr>
      <w:tr w14:paraId="32B6A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480" w:type="pct"/>
          </w:tcPr>
          <w:p w14:paraId="26E15F21">
            <w:pPr>
              <w:pStyle w:val="180"/>
              <w:spacing w:before="78" w:line="262" w:lineRule="exact"/>
              <w:ind w:left="107"/>
              <w:rPr>
                <w:rFonts w:ascii="Times New Roman" w:hAnsi="Times New Roman" w:cs="Times New Roman" w:eastAsiaTheme="minorEastAsia"/>
                <w:sz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玻璃器皿检查</w:t>
            </w:r>
          </w:p>
        </w:tc>
        <w:tc>
          <w:tcPr>
            <w:tcW w:w="2520" w:type="pct"/>
          </w:tcPr>
          <w:p w14:paraId="0779F24E">
            <w:pPr>
              <w:pStyle w:val="180"/>
              <w:tabs>
                <w:tab w:val="left" w:pos="1477"/>
              </w:tabs>
              <w:spacing w:before="78" w:line="262" w:lineRule="exact"/>
              <w:ind w:left="6"/>
              <w:jc w:val="center"/>
              <w:rPr>
                <w:rFonts w:ascii="Times New Roman" w:hAnsi="Times New Roman" w:cs="Times New Roman" w:eastAsiaTheme="minorEastAsia"/>
                <w:sz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</w:rPr>
              <w:t>□</w:t>
            </w:r>
            <w:r>
              <w:rPr>
                <w:rFonts w:ascii="Times New Roman" w:hAnsi="Times New Roman" w:cs="Times New Roman" w:eastAsiaTheme="minorEastAsia"/>
                <w:spacing w:val="-3"/>
                <w:sz w:val="21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1"/>
              </w:rPr>
              <w:t>符</w:t>
            </w:r>
            <w:r>
              <w:rPr>
                <w:rFonts w:ascii="Times New Roman" w:hAnsi="Times New Roman" w:cs="Times New Roman" w:eastAsiaTheme="minorEastAsia"/>
                <w:spacing w:val="-10"/>
                <w:sz w:val="21"/>
              </w:rPr>
              <w:t>合</w:t>
            </w:r>
            <w:r>
              <w:rPr>
                <w:rFonts w:ascii="Times New Roman" w:hAnsi="Times New Roman" w:cs="Times New Roman" w:eastAsiaTheme="minorEastAsia"/>
                <w:sz w:val="21"/>
              </w:rPr>
              <w:tab/>
            </w:r>
            <w:r>
              <w:rPr>
                <w:rFonts w:cs="Times New Roman" w:asciiTheme="minorEastAsia" w:hAnsiTheme="minorEastAsia" w:eastAsiaTheme="minorEastAsia"/>
                <w:sz w:val="21"/>
              </w:rPr>
              <w:t>□</w:t>
            </w:r>
            <w:r>
              <w:rPr>
                <w:rFonts w:cs="Times New Roman" w:asciiTheme="minorEastAsia" w:hAnsiTheme="minorEastAsia" w:eastAsiaTheme="minorEastAsia"/>
                <w:spacing w:val="-5"/>
                <w:sz w:val="21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1"/>
              </w:rPr>
              <w:t>不符</w:t>
            </w:r>
            <w:r>
              <w:rPr>
                <w:rFonts w:ascii="Times New Roman" w:hAnsi="Times New Roman" w:cs="Times New Roman" w:eastAsiaTheme="minorEastAsia"/>
                <w:spacing w:val="-10"/>
                <w:sz w:val="21"/>
              </w:rPr>
              <w:t>合</w:t>
            </w:r>
          </w:p>
        </w:tc>
      </w:tr>
    </w:tbl>
    <w:p w14:paraId="07CB72EB">
      <w:pPr>
        <w:pStyle w:val="23"/>
        <w:spacing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2.温度示值误差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及不确定度</w:t>
      </w:r>
    </w:p>
    <w:tbl>
      <w:tblPr>
        <w:tblStyle w:val="33"/>
        <w:tblW w:w="9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963"/>
        <w:gridCol w:w="1050"/>
        <w:gridCol w:w="962"/>
        <w:gridCol w:w="1143"/>
        <w:gridCol w:w="1500"/>
        <w:gridCol w:w="2082"/>
      </w:tblGrid>
      <w:tr w14:paraId="382D2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10" w:type="dxa"/>
            <w:vMerge w:val="restart"/>
            <w:vAlign w:val="center"/>
          </w:tcPr>
          <w:p w14:paraId="69A20196">
            <w:pPr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设定温度</w:t>
            </w:r>
          </w:p>
          <w:p w14:paraId="1CCED2AE">
            <w:pPr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℃</w:t>
            </w:r>
          </w:p>
        </w:tc>
        <w:tc>
          <w:tcPr>
            <w:tcW w:w="4118" w:type="dxa"/>
            <w:gridSpan w:val="4"/>
            <w:vAlign w:val="center"/>
          </w:tcPr>
          <w:p w14:paraId="32D17C83">
            <w:pPr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实测值/℃</w:t>
            </w:r>
          </w:p>
        </w:tc>
        <w:tc>
          <w:tcPr>
            <w:tcW w:w="1500" w:type="dxa"/>
            <w:vMerge w:val="restart"/>
            <w:vAlign w:val="center"/>
          </w:tcPr>
          <w:p w14:paraId="6B1B27CE">
            <w:pPr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温度示值误差</w:t>
            </w:r>
          </w:p>
          <w:p w14:paraId="1AF2A244">
            <w:pPr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℃</w:t>
            </w:r>
          </w:p>
        </w:tc>
        <w:tc>
          <w:tcPr>
            <w:tcW w:w="2082" w:type="dxa"/>
            <w:vMerge w:val="restart"/>
            <w:vAlign w:val="center"/>
          </w:tcPr>
          <w:p w14:paraId="0E2292C9">
            <w:pPr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扩展不确定度</w:t>
            </w:r>
          </w:p>
          <w:p w14:paraId="65A89712">
            <w:pPr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℃（</w:t>
            </w:r>
            <w:r>
              <w:rPr>
                <w:i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=2）</w:t>
            </w:r>
          </w:p>
        </w:tc>
      </w:tr>
      <w:tr w14:paraId="3922D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0" w:type="dxa"/>
            <w:vMerge w:val="continue"/>
            <w:vAlign w:val="center"/>
          </w:tcPr>
          <w:p w14:paraId="0A8FA37B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3" w:type="dxa"/>
            <w:vAlign w:val="center"/>
          </w:tcPr>
          <w:p w14:paraId="12F84BD3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0" w:type="dxa"/>
            <w:vAlign w:val="center"/>
          </w:tcPr>
          <w:p w14:paraId="4B41A0C8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62" w:type="dxa"/>
            <w:vAlign w:val="center"/>
          </w:tcPr>
          <w:p w14:paraId="441819F7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43" w:type="dxa"/>
            <w:vAlign w:val="center"/>
          </w:tcPr>
          <w:p w14:paraId="027A43C8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  <w:tc>
          <w:tcPr>
            <w:tcW w:w="1500" w:type="dxa"/>
            <w:vMerge w:val="continue"/>
            <w:vAlign w:val="center"/>
          </w:tcPr>
          <w:p w14:paraId="295F9183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2" w:type="dxa"/>
            <w:vMerge w:val="continue"/>
            <w:vAlign w:val="center"/>
          </w:tcPr>
          <w:p w14:paraId="5DEBBF73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043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10" w:type="dxa"/>
            <w:vAlign w:val="center"/>
          </w:tcPr>
          <w:p w14:paraId="3551D5EC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3" w:type="dxa"/>
            <w:vAlign w:val="center"/>
          </w:tcPr>
          <w:p w14:paraId="1FD5E050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vAlign w:val="center"/>
          </w:tcPr>
          <w:p w14:paraId="68F0A646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2" w:type="dxa"/>
            <w:vAlign w:val="center"/>
          </w:tcPr>
          <w:p w14:paraId="7B6F9401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Align w:val="center"/>
          </w:tcPr>
          <w:p w14:paraId="64D84E61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vAlign w:val="center"/>
          </w:tcPr>
          <w:p w14:paraId="2A06AF90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2" w:type="dxa"/>
            <w:vAlign w:val="center"/>
          </w:tcPr>
          <w:p w14:paraId="3F888326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BF8C6BE">
      <w:pPr>
        <w:pStyle w:val="23"/>
        <w:spacing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 凝点示值误差和重复性</w:t>
      </w:r>
    </w:p>
    <w:tbl>
      <w:tblPr>
        <w:tblStyle w:val="179"/>
        <w:tblW w:w="502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79"/>
        <w:gridCol w:w="2279"/>
        <w:gridCol w:w="2279"/>
        <w:gridCol w:w="2288"/>
      </w:tblGrid>
      <w:tr w14:paraId="14FC18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49" w:type="pct"/>
          </w:tcPr>
          <w:p w14:paraId="00DD5443">
            <w:pPr>
              <w:pStyle w:val="180"/>
              <w:rPr>
                <w:rFonts w:ascii="Times New Roman" w:hAnsi="Times New Roman" w:cs="Times New Roman" w:eastAsiaTheme="minorEastAsia"/>
                <w:sz w:val="20"/>
              </w:rPr>
            </w:pPr>
          </w:p>
        </w:tc>
        <w:tc>
          <w:tcPr>
            <w:tcW w:w="1249" w:type="pct"/>
          </w:tcPr>
          <w:p w14:paraId="355C328D">
            <w:pPr>
              <w:pStyle w:val="180"/>
              <w:spacing w:before="67" w:line="272" w:lineRule="exact"/>
              <w:ind w:left="1015" w:right="1009"/>
              <w:jc w:val="center"/>
              <w:rPr>
                <w:rFonts w:ascii="Times New Roman" w:hAnsi="Times New Roman" w:cs="Times New Roman" w:eastAsiaTheme="minorEastAsia"/>
                <w:sz w:val="11"/>
              </w:rPr>
            </w:pPr>
            <w:r>
              <w:rPr>
                <w:rFonts w:ascii="Times New Roman" w:hAnsi="Times New Roman" w:cs="Times New Roman" w:eastAsiaTheme="minorEastAsia"/>
                <w:i/>
                <w:spacing w:val="-5"/>
                <w:position w:val="1"/>
              </w:rPr>
              <w:t>T</w:t>
            </w:r>
            <w:r>
              <w:rPr>
                <w:rFonts w:ascii="Times New Roman" w:hAnsi="Times New Roman" w:cs="Times New Roman" w:eastAsiaTheme="minorEastAsia"/>
                <w:spacing w:val="-5"/>
                <w:sz w:val="11"/>
              </w:rPr>
              <w:t>1</w:t>
            </w:r>
          </w:p>
        </w:tc>
        <w:tc>
          <w:tcPr>
            <w:tcW w:w="1249" w:type="pct"/>
          </w:tcPr>
          <w:p w14:paraId="778BA60B">
            <w:pPr>
              <w:pStyle w:val="180"/>
              <w:spacing w:before="67" w:line="272" w:lineRule="exact"/>
              <w:ind w:left="1016" w:right="1009"/>
              <w:jc w:val="center"/>
              <w:rPr>
                <w:rFonts w:ascii="Times New Roman" w:hAnsi="Times New Roman" w:cs="Times New Roman" w:eastAsiaTheme="minorEastAsia"/>
                <w:sz w:val="11"/>
              </w:rPr>
            </w:pPr>
            <w:r>
              <w:rPr>
                <w:rFonts w:ascii="Times New Roman" w:hAnsi="Times New Roman" w:cs="Times New Roman" w:eastAsiaTheme="minorEastAsia"/>
                <w:i/>
                <w:spacing w:val="-5"/>
                <w:position w:val="1"/>
              </w:rPr>
              <w:t>T</w:t>
            </w:r>
            <w:r>
              <w:rPr>
                <w:rFonts w:ascii="Times New Roman" w:hAnsi="Times New Roman" w:cs="Times New Roman" w:eastAsiaTheme="minorEastAsia"/>
                <w:spacing w:val="-5"/>
                <w:sz w:val="11"/>
              </w:rPr>
              <w:t>2</w:t>
            </w:r>
          </w:p>
        </w:tc>
        <w:tc>
          <w:tcPr>
            <w:tcW w:w="1253" w:type="pct"/>
          </w:tcPr>
          <w:p w14:paraId="1E06FCD6">
            <w:pPr>
              <w:pStyle w:val="180"/>
              <w:spacing w:before="67" w:line="272" w:lineRule="exact"/>
              <w:ind w:left="1016" w:right="1008"/>
              <w:jc w:val="center"/>
              <w:rPr>
                <w:rFonts w:ascii="Times New Roman" w:hAnsi="Times New Roman" w:cs="Times New Roman" w:eastAsiaTheme="minorEastAsia"/>
                <w:sz w:val="11"/>
              </w:rPr>
            </w:pPr>
            <w:r>
              <w:rPr>
                <w:rFonts w:ascii="Times New Roman" w:hAnsi="Times New Roman" w:cs="Times New Roman" w:eastAsiaTheme="minorEastAsia"/>
                <w:i/>
                <w:spacing w:val="-5"/>
                <w:position w:val="1"/>
              </w:rPr>
              <w:t>T</w:t>
            </w:r>
            <w:r>
              <w:rPr>
                <w:rFonts w:ascii="Times New Roman" w:hAnsi="Times New Roman" w:cs="Times New Roman" w:eastAsiaTheme="minorEastAsia"/>
                <w:spacing w:val="-5"/>
                <w:sz w:val="11"/>
              </w:rPr>
              <w:t>3</w:t>
            </w:r>
          </w:p>
        </w:tc>
      </w:tr>
      <w:tr w14:paraId="5F0BF7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49" w:type="pct"/>
          </w:tcPr>
          <w:p w14:paraId="260A86CF">
            <w:pPr>
              <w:pStyle w:val="180"/>
              <w:spacing w:before="78" w:line="262" w:lineRule="exact"/>
              <w:ind w:left="107"/>
              <w:jc w:val="center"/>
              <w:rPr>
                <w:rFonts w:ascii="Times New Roman" w:hAnsi="Times New Roman" w:cs="Times New Roman" w:eastAsiaTheme="minorEastAsia"/>
                <w:sz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预期凝点/℃</w:t>
            </w:r>
          </w:p>
        </w:tc>
        <w:tc>
          <w:tcPr>
            <w:tcW w:w="1249" w:type="pct"/>
          </w:tcPr>
          <w:p w14:paraId="676A9942">
            <w:pPr>
              <w:pStyle w:val="180"/>
              <w:rPr>
                <w:rFonts w:ascii="Times New Roman" w:hAnsi="Times New Roman" w:cs="Times New Roman" w:eastAsiaTheme="minorEastAsia"/>
                <w:sz w:val="20"/>
              </w:rPr>
            </w:pPr>
          </w:p>
        </w:tc>
        <w:tc>
          <w:tcPr>
            <w:tcW w:w="1249" w:type="pct"/>
          </w:tcPr>
          <w:p w14:paraId="465E951B">
            <w:pPr>
              <w:pStyle w:val="180"/>
              <w:rPr>
                <w:rFonts w:ascii="Times New Roman" w:hAnsi="Times New Roman" w:cs="Times New Roman" w:eastAsiaTheme="minorEastAsia"/>
                <w:sz w:val="20"/>
              </w:rPr>
            </w:pPr>
          </w:p>
        </w:tc>
        <w:tc>
          <w:tcPr>
            <w:tcW w:w="1253" w:type="pct"/>
          </w:tcPr>
          <w:p w14:paraId="1BB3D37E">
            <w:pPr>
              <w:pStyle w:val="180"/>
              <w:rPr>
                <w:rFonts w:ascii="Times New Roman" w:hAnsi="Times New Roman" w:cs="Times New Roman" w:eastAsiaTheme="minorEastAsia"/>
                <w:sz w:val="20"/>
              </w:rPr>
            </w:pPr>
          </w:p>
        </w:tc>
      </w:tr>
      <w:tr w14:paraId="4667B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9" w:hRule="atLeast"/>
        </w:trPr>
        <w:tc>
          <w:tcPr>
            <w:tcW w:w="1249" w:type="pct"/>
          </w:tcPr>
          <w:p w14:paraId="3D4B91BD">
            <w:pPr>
              <w:pStyle w:val="180"/>
              <w:spacing w:before="77" w:line="262" w:lineRule="exact"/>
              <w:ind w:left="107"/>
              <w:jc w:val="center"/>
              <w:rPr>
                <w:rFonts w:ascii="Times New Roman" w:hAnsi="Times New Roman" w:cs="Times New Roman" w:eastAsiaTheme="minorEastAsia"/>
                <w:sz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实测值/℃</w:t>
            </w:r>
          </w:p>
        </w:tc>
        <w:tc>
          <w:tcPr>
            <w:tcW w:w="1249" w:type="pct"/>
          </w:tcPr>
          <w:p w14:paraId="5EFC04D0">
            <w:pPr>
              <w:pStyle w:val="180"/>
              <w:rPr>
                <w:rFonts w:ascii="Times New Roman" w:hAnsi="Times New Roman" w:cs="Times New Roman" w:eastAsiaTheme="minorEastAsia"/>
                <w:sz w:val="20"/>
              </w:rPr>
            </w:pPr>
          </w:p>
        </w:tc>
        <w:tc>
          <w:tcPr>
            <w:tcW w:w="1249" w:type="pct"/>
          </w:tcPr>
          <w:p w14:paraId="6F517214">
            <w:pPr>
              <w:pStyle w:val="180"/>
              <w:rPr>
                <w:rFonts w:ascii="Times New Roman" w:hAnsi="Times New Roman" w:cs="Times New Roman" w:eastAsiaTheme="minorEastAsia"/>
                <w:sz w:val="20"/>
              </w:rPr>
            </w:pPr>
          </w:p>
        </w:tc>
        <w:tc>
          <w:tcPr>
            <w:tcW w:w="1253" w:type="pct"/>
          </w:tcPr>
          <w:p w14:paraId="2DECA9B7">
            <w:pPr>
              <w:pStyle w:val="180"/>
              <w:rPr>
                <w:rFonts w:ascii="Times New Roman" w:hAnsi="Times New Roman" w:cs="Times New Roman" w:eastAsiaTheme="minorEastAsia"/>
                <w:sz w:val="20"/>
              </w:rPr>
            </w:pPr>
          </w:p>
        </w:tc>
      </w:tr>
      <w:tr w14:paraId="52C132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249" w:type="pct"/>
          </w:tcPr>
          <w:p w14:paraId="33895645">
            <w:pPr>
              <w:pStyle w:val="180"/>
              <w:spacing w:before="80" w:line="262" w:lineRule="exact"/>
              <w:ind w:left="107"/>
              <w:jc w:val="center"/>
              <w:rPr>
                <w:rFonts w:ascii="Times New Roman" w:hAnsi="Times New Roman" w:cs="Times New Roman" w:eastAsiaTheme="minorEastAsia"/>
                <w:sz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平均值/℃</w:t>
            </w:r>
          </w:p>
        </w:tc>
        <w:tc>
          <w:tcPr>
            <w:tcW w:w="3751" w:type="pct"/>
            <w:gridSpan w:val="3"/>
          </w:tcPr>
          <w:p w14:paraId="35582526">
            <w:pPr>
              <w:pStyle w:val="180"/>
              <w:rPr>
                <w:rFonts w:ascii="Times New Roman" w:hAnsi="Times New Roman" w:cs="Times New Roman" w:eastAsiaTheme="minorEastAsia"/>
                <w:sz w:val="20"/>
              </w:rPr>
            </w:pPr>
          </w:p>
        </w:tc>
      </w:tr>
      <w:tr w14:paraId="7B2722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49" w:type="pct"/>
          </w:tcPr>
          <w:p w14:paraId="74AAE490">
            <w:pPr>
              <w:pStyle w:val="180"/>
              <w:spacing w:before="78" w:line="262" w:lineRule="exact"/>
              <w:ind w:left="107"/>
              <w:jc w:val="center"/>
              <w:rPr>
                <w:rFonts w:ascii="Times New Roman" w:hAnsi="Times New Roman" w:cs="Times New Roman" w:eastAsiaTheme="minorEastAsia"/>
                <w:sz w:val="21"/>
              </w:rPr>
            </w:pPr>
            <w:r>
              <w:rPr>
                <w:rFonts w:ascii="Times New Roman" w:hAnsi="Times New Roman" w:cs="Times New Roman" w:eastAsiaTheme="minorEastAsia"/>
                <w:spacing w:val="-3"/>
                <w:sz w:val="21"/>
              </w:rPr>
              <w:t>示值重复性/℃</w:t>
            </w:r>
          </w:p>
        </w:tc>
        <w:tc>
          <w:tcPr>
            <w:tcW w:w="3751" w:type="pct"/>
            <w:gridSpan w:val="3"/>
          </w:tcPr>
          <w:p w14:paraId="2215F2AE">
            <w:pPr>
              <w:pStyle w:val="180"/>
              <w:rPr>
                <w:rFonts w:ascii="Times New Roman" w:hAnsi="Times New Roman" w:cs="Times New Roman" w:eastAsiaTheme="minorEastAsia"/>
                <w:sz w:val="20"/>
              </w:rPr>
            </w:pPr>
          </w:p>
        </w:tc>
      </w:tr>
      <w:tr w14:paraId="1AF9E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49" w:type="pct"/>
          </w:tcPr>
          <w:p w14:paraId="4D5BFEFA">
            <w:pPr>
              <w:pStyle w:val="180"/>
              <w:spacing w:before="77" w:line="262" w:lineRule="exact"/>
              <w:ind w:left="107"/>
              <w:jc w:val="center"/>
              <w:rPr>
                <w:rFonts w:ascii="Times New Roman" w:hAnsi="Times New Roman" w:cs="Times New Roman" w:eastAsiaTheme="minorEastAsia"/>
                <w:sz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示值误差/℃</w:t>
            </w:r>
          </w:p>
        </w:tc>
        <w:tc>
          <w:tcPr>
            <w:tcW w:w="3751" w:type="pct"/>
            <w:gridSpan w:val="3"/>
          </w:tcPr>
          <w:p w14:paraId="2E80619F">
            <w:pPr>
              <w:pStyle w:val="180"/>
              <w:rPr>
                <w:rFonts w:ascii="Times New Roman" w:hAnsi="Times New Roman" w:cs="Times New Roman" w:eastAsiaTheme="minorEastAsia"/>
                <w:sz w:val="20"/>
              </w:rPr>
            </w:pPr>
          </w:p>
        </w:tc>
      </w:tr>
    </w:tbl>
    <w:p w14:paraId="6025E5B7">
      <w:pPr>
        <w:pStyle w:val="23"/>
        <w:spacing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4、凝点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示值误差不确定度</w:t>
      </w:r>
    </w:p>
    <w:tbl>
      <w:tblPr>
        <w:tblStyle w:val="179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7"/>
        <w:gridCol w:w="1393"/>
        <w:gridCol w:w="1467"/>
        <w:gridCol w:w="1754"/>
        <w:gridCol w:w="1754"/>
        <w:gridCol w:w="1755"/>
      </w:tblGrid>
      <w:tr w14:paraId="7B035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527" w:type="pct"/>
            <w:vAlign w:val="center"/>
          </w:tcPr>
          <w:p w14:paraId="4DA90DB9">
            <w:pPr>
              <w:pStyle w:val="180"/>
              <w:jc w:val="center"/>
              <w:rPr>
                <w:rFonts w:ascii="Times New Roman" w:hAnsi="Times New Roman" w:cs="Times New Roman" w:eastAsiaTheme="minorEastAsia"/>
                <w:sz w:val="20"/>
              </w:rPr>
            </w:pPr>
          </w:p>
        </w:tc>
        <w:tc>
          <w:tcPr>
            <w:tcW w:w="767" w:type="pct"/>
            <w:vAlign w:val="center"/>
          </w:tcPr>
          <w:p w14:paraId="6EAF11A4">
            <w:pPr>
              <w:pStyle w:val="180"/>
              <w:jc w:val="center"/>
              <w:rPr>
                <w:rFonts w:ascii="Times New Roman" w:hAnsi="Times New Roman" w:cs="Times New Roman" w:eastAsiaTheme="minorEastAsia"/>
                <w:sz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标准物质/℃</w:t>
            </w:r>
          </w:p>
        </w:tc>
        <w:tc>
          <w:tcPr>
            <w:tcW w:w="808" w:type="pct"/>
            <w:vAlign w:val="center"/>
          </w:tcPr>
          <w:p w14:paraId="2B930C48">
            <w:pPr>
              <w:pStyle w:val="180"/>
              <w:jc w:val="center"/>
              <w:rPr>
                <w:rFonts w:ascii="Times New Roman" w:hAnsi="Times New Roman" w:eastAsia="PMingLiU" w:cs="Times New Roman"/>
                <w:sz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重复性/℃</w:t>
            </w:r>
          </w:p>
        </w:tc>
        <w:tc>
          <w:tcPr>
            <w:tcW w:w="966" w:type="pct"/>
            <w:vAlign w:val="center"/>
          </w:tcPr>
          <w:p w14:paraId="5CA16D30">
            <w:pPr>
              <w:pStyle w:val="180"/>
              <w:jc w:val="center"/>
              <w:rPr>
                <w:rFonts w:ascii="Times New Roman" w:hAnsi="Times New Roman" w:cs="Times New Roman" w:eastAsiaTheme="minorEastAsia"/>
                <w:spacing w:val="-4"/>
                <w:sz w:val="21"/>
              </w:rPr>
            </w:pP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测试温度间隔/℃</w:t>
            </w:r>
          </w:p>
        </w:tc>
        <w:tc>
          <w:tcPr>
            <w:tcW w:w="966" w:type="pct"/>
          </w:tcPr>
          <w:p w14:paraId="4011220A">
            <w:pPr>
              <w:pStyle w:val="180"/>
              <w:jc w:val="center"/>
              <w:rPr>
                <w:rFonts w:ascii="Times New Roman" w:hAnsi="Times New Roman" w:cs="Times New Roman" w:eastAsiaTheme="minorEastAsia"/>
                <w:spacing w:val="-4"/>
                <w:sz w:val="21"/>
              </w:rPr>
            </w:pPr>
            <w:r>
              <w:rPr>
                <w:rFonts w:ascii="Times New Roman" w:hAnsi="Times New Roman" w:cs="Times New Roman" w:eastAsiaTheme="minorEastAsia"/>
                <w:i/>
                <w:spacing w:val="-4"/>
                <w:sz w:val="21"/>
                <w:lang w:eastAsia="zh-CN"/>
              </w:rPr>
              <w:t>u</w:t>
            </w:r>
            <w:r>
              <w:rPr>
                <w:rFonts w:ascii="Times New Roman" w:hAnsi="Times New Roman" w:cs="Times New Roman" w:eastAsiaTheme="minorEastAsia"/>
                <w:spacing w:val="-4"/>
                <w:sz w:val="21"/>
                <w:vertAlign w:val="subscript"/>
                <w:lang w:eastAsia="zh-CN"/>
              </w:rPr>
              <w:t>c</w:t>
            </w: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/℃</w:t>
            </w:r>
          </w:p>
        </w:tc>
        <w:tc>
          <w:tcPr>
            <w:tcW w:w="966" w:type="pct"/>
          </w:tcPr>
          <w:p w14:paraId="2F27598A">
            <w:pPr>
              <w:pStyle w:val="180"/>
              <w:jc w:val="center"/>
              <w:rPr>
                <w:rFonts w:ascii="Times New Roman" w:hAnsi="Times New Roman" w:cs="Times New Roman" w:eastAsiaTheme="minorEastAsia"/>
                <w:spacing w:val="-4"/>
                <w:sz w:val="21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i/>
                <w:spacing w:val="-4"/>
                <w:sz w:val="21"/>
                <w:lang w:eastAsia="zh-CN"/>
              </w:rPr>
              <w:t>U</w:t>
            </w: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/℃（</w:t>
            </w:r>
            <w:r>
              <w:rPr>
                <w:rFonts w:ascii="Times New Roman" w:hAnsi="Times New Roman" w:cs="Times New Roman" w:eastAsiaTheme="minorEastAsia"/>
                <w:i/>
                <w:spacing w:val="-4"/>
                <w:sz w:val="21"/>
                <w:lang w:eastAsia="zh-CN"/>
              </w:rPr>
              <w:t>k</w:t>
            </w:r>
            <w:r>
              <w:rPr>
                <w:rFonts w:ascii="Times New Roman" w:hAnsi="Times New Roman" w:cs="Times New Roman" w:eastAsiaTheme="minorEastAsia"/>
                <w:spacing w:val="-4"/>
                <w:sz w:val="21"/>
              </w:rPr>
              <w:t>=2）</w:t>
            </w:r>
          </w:p>
        </w:tc>
      </w:tr>
      <w:tr w14:paraId="73301D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527" w:type="pct"/>
            <w:vAlign w:val="center"/>
          </w:tcPr>
          <w:p w14:paraId="5E144BAA">
            <w:pPr>
              <w:pStyle w:val="180"/>
              <w:spacing w:before="67" w:line="275" w:lineRule="exact"/>
              <w:ind w:left="383" w:right="377"/>
              <w:jc w:val="center"/>
              <w:rPr>
                <w:rFonts w:ascii="Times New Roman" w:hAnsi="Times New Roman" w:cs="Times New Roman" w:eastAsiaTheme="minorEastAsia"/>
                <w:sz w:val="11"/>
              </w:rPr>
            </w:pPr>
            <w:r>
              <w:rPr>
                <w:rFonts w:ascii="Times New Roman" w:hAnsi="Times New Roman" w:cs="Times New Roman" w:eastAsiaTheme="minorEastAsia"/>
                <w:i/>
                <w:spacing w:val="-5"/>
                <w:position w:val="1"/>
              </w:rPr>
              <w:t>u</w:t>
            </w:r>
            <w:r>
              <w:rPr>
                <w:rFonts w:ascii="Times New Roman" w:hAnsi="Times New Roman" w:cs="Times New Roman" w:eastAsiaTheme="minorEastAsia"/>
                <w:spacing w:val="-5"/>
                <w:sz w:val="11"/>
              </w:rPr>
              <w:t>i</w:t>
            </w:r>
          </w:p>
        </w:tc>
        <w:tc>
          <w:tcPr>
            <w:tcW w:w="767" w:type="pct"/>
            <w:vAlign w:val="center"/>
          </w:tcPr>
          <w:p w14:paraId="57E667BD">
            <w:pPr>
              <w:pStyle w:val="180"/>
              <w:jc w:val="center"/>
              <w:rPr>
                <w:rFonts w:ascii="Times New Roman" w:hAnsi="Times New Roman" w:cs="Times New Roman" w:eastAsiaTheme="minorEastAsia"/>
                <w:sz w:val="20"/>
              </w:rPr>
            </w:pPr>
          </w:p>
        </w:tc>
        <w:tc>
          <w:tcPr>
            <w:tcW w:w="808" w:type="pct"/>
            <w:vAlign w:val="center"/>
          </w:tcPr>
          <w:p w14:paraId="43F5EB90">
            <w:pPr>
              <w:pStyle w:val="180"/>
              <w:jc w:val="center"/>
              <w:rPr>
                <w:rFonts w:ascii="Times New Roman" w:hAnsi="Times New Roman" w:cs="Times New Roman" w:eastAsiaTheme="minorEastAsia"/>
                <w:sz w:val="20"/>
              </w:rPr>
            </w:pPr>
          </w:p>
        </w:tc>
        <w:tc>
          <w:tcPr>
            <w:tcW w:w="966" w:type="pct"/>
            <w:vAlign w:val="center"/>
          </w:tcPr>
          <w:p w14:paraId="70FD843F">
            <w:pPr>
              <w:pStyle w:val="180"/>
              <w:jc w:val="center"/>
              <w:rPr>
                <w:rFonts w:ascii="Times New Roman" w:hAnsi="Times New Roman" w:cs="Times New Roman" w:eastAsiaTheme="minorEastAsia"/>
                <w:sz w:val="20"/>
              </w:rPr>
            </w:pPr>
          </w:p>
        </w:tc>
        <w:tc>
          <w:tcPr>
            <w:tcW w:w="966" w:type="pct"/>
          </w:tcPr>
          <w:p w14:paraId="635D0CD6">
            <w:pPr>
              <w:pStyle w:val="180"/>
              <w:jc w:val="center"/>
              <w:rPr>
                <w:rFonts w:ascii="Times New Roman" w:hAnsi="Times New Roman" w:cs="Times New Roman" w:eastAsiaTheme="minorEastAsia"/>
                <w:sz w:val="20"/>
              </w:rPr>
            </w:pPr>
          </w:p>
        </w:tc>
        <w:tc>
          <w:tcPr>
            <w:tcW w:w="966" w:type="pct"/>
          </w:tcPr>
          <w:p w14:paraId="0A2D9B81">
            <w:pPr>
              <w:pStyle w:val="180"/>
              <w:jc w:val="center"/>
              <w:rPr>
                <w:rFonts w:ascii="Times New Roman" w:hAnsi="Times New Roman" w:cs="Times New Roman" w:eastAsiaTheme="minorEastAsia"/>
                <w:sz w:val="20"/>
              </w:rPr>
            </w:pPr>
          </w:p>
        </w:tc>
      </w:tr>
    </w:tbl>
    <w:p w14:paraId="469A2BB9">
      <w:pPr>
        <w:pStyle w:val="20"/>
        <w:spacing w:line="36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以下空白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6FF2F1A9">
      <w:pPr>
        <w:pStyle w:val="2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43" w:name="_Toc457983175"/>
      <w:bookmarkEnd w:id="43"/>
      <w:bookmarkStart w:id="44" w:name="_Toc461026481"/>
      <w:bookmarkEnd w:id="44"/>
      <w:bookmarkStart w:id="45" w:name="_Toc2026"/>
      <w:bookmarkEnd w:id="45"/>
      <w:bookmarkStart w:id="46" w:name="_Toc462838192"/>
      <w:bookmarkEnd w:id="46"/>
      <w:bookmarkStart w:id="47" w:name="_Toc4182"/>
      <w:bookmarkEnd w:id="47"/>
      <w:bookmarkStart w:id="48" w:name="_Toc206493359"/>
      <w:bookmarkStart w:id="49" w:name="_Toc356507065"/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附录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</w:t>
      </w:r>
      <w:bookmarkEnd w:id="48"/>
    </w:p>
    <w:p w14:paraId="562DC805">
      <w:pPr>
        <w:pStyle w:val="104"/>
        <w:numPr>
          <w:ilvl w:val="0"/>
          <w:numId w:val="0"/>
        </w:numPr>
        <w:spacing w:before="160"/>
        <w:outlineLvl w:val="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50" w:name="_Toc483384572"/>
      <w:bookmarkStart w:id="51" w:name="_Toc488063250"/>
      <w:r>
        <w:rPr>
          <w:rFonts w:hint="eastAsia"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凝点测定仪</w:t>
      </w:r>
      <w:r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校准证书内页</w:t>
      </w:r>
      <w:r>
        <w:rPr>
          <w:rFonts w:hint="eastAsia"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推荐</w:t>
      </w:r>
      <w:r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格式</w:t>
      </w:r>
      <w:bookmarkEnd w:id="50"/>
      <w:bookmarkEnd w:id="51"/>
    </w:p>
    <w:tbl>
      <w:tblPr>
        <w:tblStyle w:val="33"/>
        <w:tblW w:w="95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3"/>
      </w:tblGrid>
      <w:tr w14:paraId="24BB5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4" w:hRule="atLeast"/>
          <w:jc w:val="center"/>
        </w:trPr>
        <w:tc>
          <w:tcPr>
            <w:tcW w:w="9533" w:type="dxa"/>
          </w:tcPr>
          <w:p w14:paraId="355F49C0">
            <w:pPr>
              <w:adjustRightInd/>
              <w:spacing w:line="30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52" w:name="_Toc483384575"/>
            <w:bookmarkStart w:id="53" w:name="_Toc488063253"/>
          </w:p>
          <w:p w14:paraId="239D0DBD">
            <w:pPr>
              <w:adjustRightInd/>
              <w:spacing w:line="30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证书编号：××××——××××</w:t>
            </w:r>
          </w:p>
          <w:p w14:paraId="5B24CDF8">
            <w:pPr>
              <w:adjustRightInd/>
              <w:spacing w:line="30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FE99C8">
            <w:pPr>
              <w:adjustRightInd/>
              <w:spacing w:line="30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5E5CB5">
            <w:pPr>
              <w:adjustRightInd/>
              <w:spacing w:line="30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校准结果</w:t>
            </w:r>
          </w:p>
          <w:p w14:paraId="0E17576F">
            <w:pPr>
              <w:adjustRightInd/>
              <w:spacing w:line="300" w:lineRule="auto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外观检查</w:t>
            </w: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0820256"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表1 外观检查</w:t>
            </w:r>
          </w:p>
          <w:tbl>
            <w:tblPr>
              <w:tblStyle w:val="34"/>
              <w:tblW w:w="0" w:type="auto"/>
              <w:tblInd w:w="705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26"/>
              <w:gridCol w:w="3378"/>
            </w:tblGrid>
            <w:tr w14:paraId="658F670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426" w:type="dxa"/>
                </w:tcPr>
                <w:p w14:paraId="06A05BE3">
                  <w:pPr>
                    <w:spacing w:line="0" w:lineRule="atLeast"/>
                    <w:jc w:val="center"/>
                    <w:rPr>
                      <w:rFonts w:ascii="Calibri" w:hAnsi="Calibri"/>
                      <w:sz w:val="24"/>
                      <w:szCs w:val="20"/>
                    </w:rPr>
                  </w:pPr>
                  <w:r>
                    <w:rPr>
                      <w:rFonts w:hint="eastAsia" w:ascii="Calibri" w:hAnsi="Calibri"/>
                      <w:sz w:val="24"/>
                      <w:szCs w:val="20"/>
                    </w:rPr>
                    <w:t>检查项目</w:t>
                  </w:r>
                </w:p>
              </w:tc>
              <w:tc>
                <w:tcPr>
                  <w:tcW w:w="3378" w:type="dxa"/>
                </w:tcPr>
                <w:p w14:paraId="50F1C13F">
                  <w:pPr>
                    <w:spacing w:line="0" w:lineRule="atLeast"/>
                    <w:jc w:val="center"/>
                    <w:rPr>
                      <w:rFonts w:ascii="Calibri" w:hAnsi="Calibri"/>
                      <w:sz w:val="24"/>
                      <w:szCs w:val="20"/>
                    </w:rPr>
                  </w:pPr>
                  <w:r>
                    <w:rPr>
                      <w:rFonts w:hint="eastAsia" w:ascii="Calibri" w:hAnsi="Calibri"/>
                      <w:sz w:val="24"/>
                      <w:szCs w:val="20"/>
                    </w:rPr>
                    <w:t>检查结果</w:t>
                  </w:r>
                </w:p>
              </w:tc>
            </w:tr>
            <w:tr w14:paraId="73A2C06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426" w:type="dxa"/>
                </w:tcPr>
                <w:p w14:paraId="49713D68">
                  <w:pPr>
                    <w:spacing w:line="0" w:lineRule="atLeast"/>
                    <w:jc w:val="center"/>
                    <w:rPr>
                      <w:rFonts w:ascii="Calibri" w:hAnsi="Calibri"/>
                      <w:sz w:val="24"/>
                      <w:szCs w:val="20"/>
                    </w:rPr>
                  </w:pPr>
                  <w:r>
                    <w:rPr>
                      <w:rFonts w:hint="eastAsia" w:ascii="Calibri" w:hAnsi="Calibri"/>
                      <w:sz w:val="24"/>
                      <w:szCs w:val="20"/>
                    </w:rPr>
                    <w:t>外观检查</w:t>
                  </w:r>
                </w:p>
              </w:tc>
              <w:tc>
                <w:tcPr>
                  <w:tcW w:w="3378" w:type="dxa"/>
                </w:tcPr>
                <w:p w14:paraId="184D96E6">
                  <w:pPr>
                    <w:spacing w:line="0" w:lineRule="atLeast"/>
                    <w:jc w:val="center"/>
                    <w:rPr>
                      <w:rFonts w:ascii="Calibri" w:hAnsi="Calibri"/>
                      <w:sz w:val="24"/>
                      <w:szCs w:val="20"/>
                    </w:rPr>
                  </w:pPr>
                </w:p>
              </w:tc>
            </w:tr>
            <w:tr w14:paraId="630847C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426" w:type="dxa"/>
                </w:tcPr>
                <w:p w14:paraId="45BC413A">
                  <w:pPr>
                    <w:spacing w:line="0" w:lineRule="atLeast"/>
                    <w:jc w:val="center"/>
                    <w:rPr>
                      <w:rFonts w:ascii="Calibri" w:hAnsi="Calibri"/>
                      <w:sz w:val="24"/>
                      <w:szCs w:val="20"/>
                    </w:rPr>
                  </w:pPr>
                  <w:r>
                    <w:rPr>
                      <w:rFonts w:hint="eastAsia" w:ascii="Calibri" w:hAnsi="Calibri"/>
                      <w:sz w:val="24"/>
                      <w:szCs w:val="20"/>
                    </w:rPr>
                    <w:t>玻璃器皿检查</w:t>
                  </w:r>
                </w:p>
              </w:tc>
              <w:tc>
                <w:tcPr>
                  <w:tcW w:w="3378" w:type="dxa"/>
                </w:tcPr>
                <w:p w14:paraId="621F3A31">
                  <w:pPr>
                    <w:spacing w:line="0" w:lineRule="atLeast"/>
                    <w:jc w:val="center"/>
                    <w:rPr>
                      <w:rFonts w:ascii="Calibri" w:hAnsi="Calibri"/>
                      <w:sz w:val="24"/>
                      <w:szCs w:val="20"/>
                    </w:rPr>
                  </w:pPr>
                </w:p>
              </w:tc>
            </w:tr>
          </w:tbl>
          <w:p w14:paraId="4FB5D523">
            <w:pPr>
              <w:widowControl/>
              <w:adjustRightInd/>
              <w:spacing w:line="24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DBE7CA1">
            <w:pPr>
              <w:widowControl/>
              <w:adjustRightInd/>
              <w:spacing w:line="240" w:lineRule="auto"/>
              <w:rPr>
                <w:color w:val="000000" w:themeColor="text1"/>
                <w:sz w:val="24"/>
                <w:szCs w:val="24"/>
                <w:highlight w:val="lightGra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二、校准结果：</w:t>
            </w:r>
          </w:p>
          <w:p w14:paraId="5FBFE8F4">
            <w:pPr>
              <w:widowControl/>
              <w:adjustRightInd/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 xml:space="preserve"> 温度示值误差</w:t>
            </w:r>
          </w:p>
          <w:tbl>
            <w:tblPr>
              <w:tblStyle w:val="33"/>
              <w:tblW w:w="5000" w:type="pct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78"/>
              <w:gridCol w:w="1880"/>
              <w:gridCol w:w="1833"/>
              <w:gridCol w:w="1878"/>
              <w:gridCol w:w="1838"/>
            </w:tblGrid>
            <w:tr w14:paraId="2FA754E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exact"/>
              </w:trPr>
              <w:tc>
                <w:tcPr>
                  <w:tcW w:w="1009" w:type="pct"/>
                  <w:tcBorders>
                    <w:right w:val="single" w:color="auto" w:sz="4" w:space="0"/>
                  </w:tcBorders>
                  <w:vAlign w:val="center"/>
                </w:tcPr>
                <w:p w14:paraId="6058C8E2">
                  <w:pPr>
                    <w:adjustRightInd/>
                    <w:spacing w:line="24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设定值℃</w:t>
                  </w:r>
                </w:p>
              </w:tc>
              <w:tc>
                <w:tcPr>
                  <w:tcW w:w="1010" w:type="pct"/>
                  <w:tcBorders>
                    <w:left w:val="single" w:color="auto" w:sz="4" w:space="0"/>
                  </w:tcBorders>
                  <w:vAlign w:val="center"/>
                </w:tcPr>
                <w:p w14:paraId="491F63B0">
                  <w:pPr>
                    <w:spacing w:line="24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测量值</w:t>
                  </w:r>
                </w:p>
                <w:p w14:paraId="54402BC1">
                  <w:pPr>
                    <w:spacing w:line="24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℃</w:t>
                  </w:r>
                </w:p>
              </w:tc>
              <w:tc>
                <w:tcPr>
                  <w:tcW w:w="985" w:type="pct"/>
                  <w:vAlign w:val="center"/>
                </w:tcPr>
                <w:p w14:paraId="3CDB7CA1">
                  <w:pPr>
                    <w:adjustRightInd/>
                    <w:spacing w:line="24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平均值</w:t>
                  </w:r>
                </w:p>
                <w:p w14:paraId="4B490D72">
                  <w:pPr>
                    <w:adjustRightInd/>
                    <w:spacing w:line="24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℃</w:t>
                  </w:r>
                </w:p>
              </w:tc>
              <w:tc>
                <w:tcPr>
                  <w:tcW w:w="1009" w:type="pct"/>
                  <w:vAlign w:val="center"/>
                </w:tcPr>
                <w:p w14:paraId="4C95A9E7">
                  <w:pPr>
                    <w:adjustRightInd/>
                    <w:spacing w:line="24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温度示值误差</w:t>
                  </w:r>
                </w:p>
                <w:p w14:paraId="24A3D471">
                  <w:pPr>
                    <w:adjustRightInd/>
                    <w:spacing w:line="24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℃</w:t>
                  </w:r>
                </w:p>
              </w:tc>
              <w:tc>
                <w:tcPr>
                  <w:tcW w:w="987" w:type="pct"/>
                  <w:vAlign w:val="center"/>
                </w:tcPr>
                <w:p w14:paraId="3C19BE81">
                  <w:pPr>
                    <w:adjustRightInd/>
                    <w:spacing w:line="24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扩展不确定度</w:t>
                  </w:r>
                </w:p>
                <w:p w14:paraId="42AE3155">
                  <w:pPr>
                    <w:adjustRightInd/>
                    <w:spacing w:line="24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℃（</w:t>
                  </w:r>
                  <w:r>
                    <w:rPr>
                      <w:i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k</w:t>
                  </w:r>
                  <w:r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=2）</w:t>
                  </w:r>
                </w:p>
              </w:tc>
            </w:tr>
            <w:tr w14:paraId="10BCA6A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9" w:hRule="exact"/>
              </w:trPr>
              <w:tc>
                <w:tcPr>
                  <w:tcW w:w="1009" w:type="pct"/>
                  <w:vMerge w:val="restart"/>
                  <w:tcBorders>
                    <w:right w:val="single" w:color="auto" w:sz="4" w:space="0"/>
                  </w:tcBorders>
                  <w:vAlign w:val="center"/>
                </w:tcPr>
                <w:p w14:paraId="4170351F">
                  <w:pPr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010" w:type="pct"/>
                  <w:tcBorders>
                    <w:left w:val="single" w:color="auto" w:sz="4" w:space="0"/>
                  </w:tcBorders>
                  <w:vAlign w:val="center"/>
                </w:tcPr>
                <w:p w14:paraId="08B2C9FF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985" w:type="pct"/>
                  <w:vMerge w:val="restart"/>
                  <w:vAlign w:val="center"/>
                </w:tcPr>
                <w:p w14:paraId="4DFBE60C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009" w:type="pct"/>
                  <w:vMerge w:val="restart"/>
                  <w:vAlign w:val="center"/>
                </w:tcPr>
                <w:p w14:paraId="53B52CDB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987" w:type="pct"/>
                  <w:vMerge w:val="restart"/>
                  <w:vAlign w:val="center"/>
                </w:tcPr>
                <w:p w14:paraId="6886A6DF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636A84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5" w:hRule="exact"/>
              </w:trPr>
              <w:tc>
                <w:tcPr>
                  <w:tcW w:w="1009" w:type="pct"/>
                  <w:vMerge w:val="continue"/>
                  <w:tcBorders>
                    <w:right w:val="single" w:color="auto" w:sz="4" w:space="0"/>
                  </w:tcBorders>
                  <w:vAlign w:val="center"/>
                </w:tcPr>
                <w:p w14:paraId="305164BA">
                  <w:pPr>
                    <w:rPr>
                      <w:color w:val="000000" w:themeColor="text1"/>
                      <w:sz w:val="24"/>
                      <w:szCs w:val="22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010" w:type="pct"/>
                  <w:tcBorders>
                    <w:left w:val="single" w:color="auto" w:sz="4" w:space="0"/>
                  </w:tcBorders>
                  <w:vAlign w:val="center"/>
                </w:tcPr>
                <w:p w14:paraId="3D91FF2C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985" w:type="pct"/>
                  <w:vMerge w:val="continue"/>
                  <w:vAlign w:val="center"/>
                </w:tcPr>
                <w:p w14:paraId="24F71F64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009" w:type="pct"/>
                  <w:vMerge w:val="continue"/>
                  <w:vAlign w:val="center"/>
                </w:tcPr>
                <w:p w14:paraId="377C0217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987" w:type="pct"/>
                  <w:vMerge w:val="continue"/>
                  <w:vAlign w:val="center"/>
                </w:tcPr>
                <w:p w14:paraId="2B690020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2D8166B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exact"/>
              </w:trPr>
              <w:tc>
                <w:tcPr>
                  <w:tcW w:w="1009" w:type="pct"/>
                  <w:vMerge w:val="continue"/>
                  <w:tcBorders>
                    <w:right w:val="single" w:color="auto" w:sz="4" w:space="0"/>
                  </w:tcBorders>
                  <w:vAlign w:val="center"/>
                </w:tcPr>
                <w:p w14:paraId="29E3D2FD">
                  <w:pPr>
                    <w:rPr>
                      <w:sz w:val="24"/>
                    </w:rPr>
                  </w:pPr>
                </w:p>
              </w:tc>
              <w:tc>
                <w:tcPr>
                  <w:tcW w:w="1010" w:type="pct"/>
                  <w:tcBorders>
                    <w:left w:val="single" w:color="auto" w:sz="4" w:space="0"/>
                  </w:tcBorders>
                  <w:vAlign w:val="center"/>
                </w:tcPr>
                <w:p w14:paraId="24220A28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985" w:type="pct"/>
                  <w:vMerge w:val="continue"/>
                  <w:vAlign w:val="center"/>
                </w:tcPr>
                <w:p w14:paraId="48EC56A1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009" w:type="pct"/>
                  <w:vMerge w:val="continue"/>
                  <w:vAlign w:val="center"/>
                </w:tcPr>
                <w:p w14:paraId="2DC43DE0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987" w:type="pct"/>
                  <w:vMerge w:val="continue"/>
                  <w:vAlign w:val="center"/>
                </w:tcPr>
                <w:p w14:paraId="5C86769E">
                  <w:pPr>
                    <w:adjustRightInd/>
                    <w:spacing w:line="300" w:lineRule="auto"/>
                    <w:jc w:val="center"/>
                    <w:rPr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584F243F">
            <w:pPr>
              <w:widowControl/>
              <w:adjustRightInd/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表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 xml:space="preserve"> 凝点示值误差和重复性</w:t>
            </w:r>
          </w:p>
          <w:tbl>
            <w:tblPr>
              <w:tblStyle w:val="34"/>
              <w:tblW w:w="5000" w:type="pct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46"/>
              <w:gridCol w:w="1879"/>
              <w:gridCol w:w="1417"/>
              <w:gridCol w:w="1277"/>
              <w:gridCol w:w="1273"/>
              <w:gridCol w:w="1815"/>
            </w:tblGrid>
            <w:tr w14:paraId="3650BB9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8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79DB000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/>
                      <w:sz w:val="24"/>
                      <w:szCs w:val="20"/>
                    </w:rPr>
                    <w:t>标准值</w:t>
                  </w:r>
                </w:p>
                <w:p w14:paraId="6F2E5894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℃</w:t>
                  </w:r>
                </w:p>
              </w:tc>
              <w:tc>
                <w:tcPr>
                  <w:tcW w:w="100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410E86E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测量值</w:t>
                  </w:r>
                </w:p>
                <w:p w14:paraId="600921D8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℃</w:t>
                  </w:r>
                </w:p>
              </w:tc>
              <w:tc>
                <w:tcPr>
                  <w:tcW w:w="76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3BF73AC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/>
                      <w:sz w:val="24"/>
                      <w:szCs w:val="20"/>
                    </w:rPr>
                    <w:t>仪器示值</w:t>
                  </w:r>
                </w:p>
                <w:p w14:paraId="596453E1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℃</w:t>
                  </w:r>
                </w:p>
              </w:tc>
              <w:tc>
                <w:tcPr>
                  <w:tcW w:w="686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1CEC834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/>
                      <w:sz w:val="24"/>
                      <w:szCs w:val="20"/>
                    </w:rPr>
                    <w:t>重复性</w:t>
                  </w:r>
                </w:p>
                <w:p w14:paraId="78F2B49A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℃</w:t>
                  </w:r>
                </w:p>
              </w:tc>
              <w:tc>
                <w:tcPr>
                  <w:tcW w:w="684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DE312F5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/>
                      <w:sz w:val="24"/>
                      <w:szCs w:val="20"/>
                    </w:rPr>
                    <w:t>示值误差</w:t>
                  </w:r>
                </w:p>
                <w:p w14:paraId="12077E4B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℃</w:t>
                  </w:r>
                </w:p>
              </w:tc>
              <w:tc>
                <w:tcPr>
                  <w:tcW w:w="97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F269D4A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/>
                      <w:sz w:val="24"/>
                      <w:szCs w:val="20"/>
                    </w:rPr>
                    <w:t>扩展不确定度</w:t>
                  </w:r>
                </w:p>
                <w:p w14:paraId="4484D0F2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℃</w:t>
                  </w:r>
                  <w:r>
                    <w:rPr>
                      <w:rFonts w:ascii="Times New Roman" w:hAnsi="Times New Roman"/>
                      <w:sz w:val="24"/>
                      <w:szCs w:val="20"/>
                    </w:rPr>
                    <w:t>（</w:t>
                  </w:r>
                  <w:r>
                    <w:rPr>
                      <w:rFonts w:ascii="Times New Roman" w:hAnsi="Times New Roman"/>
                      <w:i/>
                      <w:sz w:val="24"/>
                      <w:szCs w:val="20"/>
                    </w:rPr>
                    <w:t>k</w:t>
                  </w:r>
                  <w:r>
                    <w:rPr>
                      <w:rFonts w:ascii="Times New Roman" w:hAnsi="Times New Roman"/>
                      <w:sz w:val="24"/>
                      <w:szCs w:val="20"/>
                    </w:rPr>
                    <w:t>=2）</w:t>
                  </w:r>
                </w:p>
              </w:tc>
            </w:tr>
            <w:tr w14:paraId="3C00F40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84" w:type="pct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523A5EDC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100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455FC2F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76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11B85DE2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686" w:type="pct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68F67387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684" w:type="pct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51BAE65F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</w:tc>
              <w:tc>
                <w:tcPr>
                  <w:tcW w:w="975" w:type="pct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0A24ACAC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0"/>
                    </w:rPr>
                  </w:pPr>
                </w:p>
              </w:tc>
            </w:tr>
            <w:tr w14:paraId="5353B49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84" w:type="pct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0B9DF368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  <w:tc>
                <w:tcPr>
                  <w:tcW w:w="100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8F87DD">
                  <w:pPr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  <w:tc>
                <w:tcPr>
                  <w:tcW w:w="761" w:type="pct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2E5C1422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  <w:tc>
                <w:tcPr>
                  <w:tcW w:w="686" w:type="pct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1D7D36F1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  <w:tc>
                <w:tcPr>
                  <w:tcW w:w="684" w:type="pct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67B1862D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  <w:tc>
                <w:tcPr>
                  <w:tcW w:w="975" w:type="pct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20756941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</w:tr>
            <w:tr w14:paraId="0B88820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84" w:type="pct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4D43AD64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  <w:tc>
                <w:tcPr>
                  <w:tcW w:w="100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5FB96F">
                  <w:pPr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  <w:tc>
                <w:tcPr>
                  <w:tcW w:w="761" w:type="pct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B59A493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  <w:tc>
                <w:tcPr>
                  <w:tcW w:w="686" w:type="pct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0B7FA8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  <w:tc>
                <w:tcPr>
                  <w:tcW w:w="684" w:type="pct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92D2B38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  <w:tc>
                <w:tcPr>
                  <w:tcW w:w="975" w:type="pct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34DFDF5B">
                  <w:pPr>
                    <w:tabs>
                      <w:tab w:val="left" w:pos="540"/>
                    </w:tabs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4"/>
                      <w:szCs w:val="22"/>
                    </w:rPr>
                  </w:pPr>
                </w:p>
              </w:tc>
            </w:tr>
          </w:tbl>
          <w:p w14:paraId="0EEFE89C">
            <w:pPr>
              <w:widowControl/>
              <w:adjustRightInd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以下空白</w:t>
            </w:r>
          </w:p>
        </w:tc>
      </w:tr>
      <w:bookmarkEnd w:id="49"/>
      <w:bookmarkEnd w:id="52"/>
      <w:bookmarkEnd w:id="53"/>
    </w:tbl>
    <w:p w14:paraId="4F397F7E">
      <w:pPr>
        <w:pStyle w:val="22"/>
        <w:tabs>
          <w:tab w:val="left" w:pos="425"/>
        </w:tabs>
        <w:adjustRightInd w:val="0"/>
        <w:spacing w:before="120" w:after="120" w:line="360" w:lineRule="auto"/>
        <w:ind w:left="0" w:right="221" w:firstLine="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73EBF1B">
      <w:pPr>
        <w:pStyle w:val="2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54" w:name="_Toc206493360"/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附录C</w:t>
      </w:r>
      <w:bookmarkEnd w:id="54"/>
    </w:p>
    <w:p w14:paraId="1695279E">
      <w:pPr>
        <w:widowControl/>
        <w:snapToGrid w:val="0"/>
        <w:spacing w:line="360" w:lineRule="auto"/>
        <w:ind w:firstLine="560" w:firstLineChars="200"/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温度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示值误差不确定度评定示例</w:t>
      </w:r>
    </w:p>
    <w:p w14:paraId="6122343F">
      <w:pPr>
        <w:snapToGrid w:val="0"/>
        <w:spacing w:line="360" w:lineRule="auto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测量方法</w:t>
      </w:r>
    </w:p>
    <w:p w14:paraId="5EB38C40">
      <w:pPr>
        <w:widowControl/>
        <w:snapToGrid w:val="0"/>
        <w:spacing w:line="360" w:lineRule="auto"/>
        <w:ind w:firstLine="480" w:firstLineChars="200"/>
        <w:jc w:val="left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在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凝点测定仪</w:t>
      </w: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规定的使用条件下，设定温度</w:t>
      </w:r>
      <w:r>
        <w:rPr>
          <w:i/>
          <w:i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T</w:t>
      </w:r>
      <w:r>
        <w:rPr>
          <w:color w:val="000000" w:themeColor="text1"/>
          <w:sz w:val="24"/>
          <w:szCs w:val="32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待冷浴温度稳定后</w:t>
      </w: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用测温仪</w:t>
      </w: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测量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套管附近冷浴温度，每隔1 min测量1次，重复测量3次。凝点测定仪设定的温度与3次测量结果的算术平均值进行比较，以两者之差作为温度示值误差。</w:t>
      </w:r>
    </w:p>
    <w:p w14:paraId="29185C60">
      <w:pPr>
        <w:snapToGrid w:val="0"/>
        <w:spacing w:line="360" w:lineRule="auto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.2 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测量模型及不确定度计算公式</w:t>
      </w:r>
    </w:p>
    <w:p w14:paraId="269CA2A6">
      <w:pPr>
        <w:snapToGrid w:val="0"/>
        <w:spacing w:line="360" w:lineRule="auto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.2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.1 测量模型</w:t>
      </w:r>
    </w:p>
    <w:p w14:paraId="2A46EB02">
      <w:pPr>
        <w:widowControl/>
        <w:snapToGrid w:val="0"/>
        <w:spacing w:line="360" w:lineRule="auto"/>
        <w:ind w:firstLine="480" w:firstLineChars="200"/>
        <w:jc w:val="left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凝点示值误差为：</w:t>
      </w:r>
    </w:p>
    <w:p w14:paraId="0424E7A6">
      <w:pPr>
        <w:wordWrap w:val="0"/>
        <w:spacing w:line="360" w:lineRule="auto"/>
        <w:ind w:firstLine="480"/>
        <w:jc w:val="righ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Δ</m:t>
        </m:r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T=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−</m:t>
        </m:r>
        <m:acc>
          <m:accPr>
            <m:chr m:val="̄"/>
            <m:ctrlPr>
              <w:rPr>
                <w:rFonts w:ascii="Cambria Math" w:hAnsi="Cambria Math"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accPr>
          <m:e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e>
        </m:acc>
      </m:oMath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（C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1）</w:t>
      </w:r>
    </w:p>
    <w:p w14:paraId="16D78B12">
      <w:pPr>
        <w:spacing w:line="360" w:lineRule="auto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式中：</w:t>
      </w:r>
    </w:p>
    <w:p w14:paraId="65FEFB1E">
      <w:pPr>
        <w:spacing w:line="360" w:lineRule="auto"/>
        <w:ind w:firstLine="1024" w:firstLineChars="427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:sz w:val="24"/>
          <w14:textFill>
            <w14:solidFill>
              <w14:schemeClr w14:val="tx1"/>
            </w14:solidFill>
          </w14:textFill>
        </w:rPr>
        <w:object>
          <v:shape id="_x0000_i1039" o:spt="75" type="#_x0000_t75" style="height:13.25pt;width:1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9" DrawAspect="Content" ObjectID="_1468075740" r:id="rId49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——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温度示值误差，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℃；</w:t>
      </w:r>
    </w:p>
    <w:p w14:paraId="01F495FA">
      <w:pPr>
        <w:spacing w:line="360" w:lineRule="auto"/>
        <w:ind w:firstLine="1024" w:firstLineChars="427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T</w:t>
      </w:r>
      <w:r>
        <w:rPr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——凝点测定仪设定温度，℃；</w:t>
      </w:r>
    </w:p>
    <w:p w14:paraId="1F2A56C3">
      <w:pPr>
        <w:pStyle w:val="21"/>
        <w:spacing w:line="360" w:lineRule="auto"/>
        <w:ind w:firstLine="957" w:firstLineChars="399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:sz w:val="24"/>
          <w14:textFill>
            <w14:solidFill>
              <w14:schemeClr w14:val="tx1"/>
            </w14:solidFill>
          </w14:textFill>
        </w:rPr>
        <w:object>
          <v:shape id="_x0000_i1040" o:spt="75" type="#_x0000_t75" style="height:15pt;width:12.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40" DrawAspect="Content" ObjectID="_1468075741" r:id="rId50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——测温设备3次测量结果的算术平均值，℃。</w:t>
      </w:r>
    </w:p>
    <w:p w14:paraId="029F87C0">
      <w:pPr>
        <w:snapToGrid w:val="0"/>
        <w:spacing w:line="360" w:lineRule="auto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合成标准不确定度计算公式</w:t>
      </w:r>
    </w:p>
    <w:p w14:paraId="3D27759E">
      <w:pPr>
        <w:snapToGrid w:val="0"/>
        <w:spacing w:line="360" w:lineRule="auto"/>
        <w:ind w:firstLine="480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根据式（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.1）的测量模型，输入量</w:t>
      </w:r>
      <w:r>
        <w:rPr>
          <w:rFonts w:hint="eastAsia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</w:t>
      </w:r>
      <w:r>
        <w:rPr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accPr>
          <m:e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acc>
      </m:oMath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的不确定度之间不相关，由不确定度传播律，可以得到合成标准不确定度的计算公式（C.2）。</w:t>
      </w:r>
    </w:p>
    <w:p w14:paraId="2DD7FE56">
      <w:pPr>
        <w:snapToGrid w:val="0"/>
        <w:spacing w:line="360" w:lineRule="auto"/>
        <w:ind w:firstLine="480" w:firstLineChars="200"/>
        <w:jc w:val="center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  <m:t>u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  <m:t>Δ</m:t>
                    </m:r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  <m:t>T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</m:d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e>
            </m:d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SubSupPr>
          <m:e>
            <m:r>
              <m:rPr/>
              <w:rPr>
                <w:rFonts w:ascii="Cambria Math" w:hAnsi="Cambria Math"/>
                <w:sz w:val="24"/>
                <w:szCs w:val="24"/>
                <w:lang w:val="zh-CN"/>
              </w:rPr>
              <m:t>c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p>
        </m:sSubSup>
        <m:sSup>
          <m:sSupP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dPr>
              <m:e>
                <m:r>
                  <m:rPr/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dPr>
                  <w:bookmarkStart w:id="55" w:name="OLE_LINK14"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zh-CN"/>
                          </w:rPr>
                        </m:ctrlPr>
                        <w:bookmarkEnd w:id="55"/>
                      </m:sub>
                    </m:sSub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</m:d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e>
            </m:d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SubSupPr>
          <m:e>
            <m:r>
              <m:rPr/>
              <w:rPr>
                <w:rFonts w:ascii="Cambria Math" w:hAnsi="Cambria Math"/>
                <w:sz w:val="24"/>
                <w:szCs w:val="24"/>
                <w:lang w:val="zh-CN"/>
              </w:rPr>
              <m:t>c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p>
        </m:sSubSup>
        <m:sSup>
          <m:sSupP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dPr>
              <m:e>
                <m:r>
                  <m:rPr/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accPr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</m:d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e>
            </m:d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p>
        </m:sSup>
      </m:oMath>
      <w:r>
        <w:rPr>
          <w:rFonts w:hint="eastAsia"/>
          <w:sz w:val="24"/>
          <w:szCs w:val="24"/>
        </w:rPr>
        <w:t xml:space="preserve">                 （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.2）</w:t>
      </w:r>
    </w:p>
    <w:p w14:paraId="5244FBE3">
      <w:pPr>
        <w:pStyle w:val="79"/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outlineLvl w:val="9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position w:val="-28"/>
          <w:sz w:val="24"/>
          <w14:textFill>
            <w14:solidFill>
              <w14:schemeClr w14:val="tx1"/>
            </w14:solidFill>
          </w14:textFill>
        </w:rPr>
        <w:t>灵敏系数为：</w:t>
      </w:r>
    </w:p>
    <w:p w14:paraId="3B801AB7">
      <w:pPr>
        <w:pStyle w:val="79"/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jc w:val="center"/>
        <w:outlineLvl w:val="9"/>
        <w:rPr>
          <w:rFonts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∂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Δ</m:t>
                </m:r>
                <m:r>
                  <m:rPr/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T</m:t>
                </m: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∂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宋体"/>
                        <w:i/>
                        <w:kern w:val="2"/>
                        <w:sz w:val="24"/>
                        <w:szCs w:val="24"/>
                        <w:lang w:val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kern w:val="2"/>
                        <w:sz w:val="24"/>
                        <w:szCs w:val="24"/>
                        <w:lang w:val="zh-CN"/>
                      </w:rPr>
                      <m:t>T</m:t>
                    </m:r>
                    <m:ctrlPr>
                      <w:rPr>
                        <w:rFonts w:ascii="Cambria Math" w:hAnsi="Cambria Math" w:eastAsia="宋体"/>
                        <w:i/>
                        <w:kern w:val="2"/>
                        <w:sz w:val="24"/>
                        <w:szCs w:val="24"/>
                        <w:lang w:val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/>
                        <w:kern w:val="2"/>
                        <w:sz w:val="24"/>
                        <w:szCs w:val="24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i/>
                        <w:kern w:val="2"/>
                        <w:sz w:val="24"/>
                        <w:szCs w:val="24"/>
                        <w:lang w:val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=1</m:t>
        </m:r>
      </m:oMath>
      <w:r>
        <w:rPr>
          <w:rFonts w:hint="eastAsia"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∂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Δ</m:t>
                </m:r>
                <m:r>
                  <m:rPr/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T</m:t>
                </m: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∂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 w:eastAsia="宋体"/>
                        <w:kern w:val="2"/>
                        <w:sz w:val="24"/>
                        <w:szCs w:val="24"/>
                        <w:lang w:val="zh-CN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  <m:t>T</m:t>
                    </m:r>
                    <m:ctrlPr>
                      <w:rPr>
                        <w:rFonts w:ascii="Cambria Math" w:hAnsi="Cambria Math" w:eastAsia="宋体"/>
                        <w:kern w:val="2"/>
                        <w:sz w:val="24"/>
                        <w:szCs w:val="24"/>
                        <w:lang w:val="zh-CN"/>
                      </w:rPr>
                    </m:ctrlPr>
                  </m:e>
                </m:acc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=−1</m:t>
        </m:r>
      </m:oMath>
    </w:p>
    <w:p w14:paraId="3C8DC3DC">
      <w:pPr>
        <w:pStyle w:val="78"/>
        <w:ind w:firstLine="420"/>
        <w:jc w:val="both"/>
      </w:pPr>
      <w:r>
        <w:rPr>
          <w:rFonts w:hint="eastAsia"/>
        </w:rPr>
        <w:t>将灵敏系数代入式（</w:t>
      </w:r>
      <w:r>
        <w:rPr>
          <w:rFonts w:ascii="Times New Roman"/>
        </w:rPr>
        <w:t>C.2</w:t>
      </w:r>
      <w:r>
        <w:rPr>
          <w:rFonts w:hint="eastAsia"/>
        </w:rPr>
        <w:t>），则式（</w:t>
      </w:r>
      <w:r>
        <w:rPr>
          <w:rFonts w:ascii="Times New Roman"/>
        </w:rPr>
        <w:t>C.2</w:t>
      </w:r>
      <w:r>
        <w:rPr>
          <w:rFonts w:hint="eastAsia"/>
        </w:rPr>
        <w:t>）可简化为式（</w:t>
      </w:r>
      <w:r>
        <w:rPr>
          <w:rFonts w:ascii="Times New Roman"/>
          <w:szCs w:val="24"/>
        </w:rPr>
        <w:t>C</w:t>
      </w:r>
      <w:r>
        <w:rPr>
          <w:rFonts w:hint="eastAsia" w:ascii="Times New Roman"/>
          <w:szCs w:val="24"/>
        </w:rPr>
        <w:t>.3</w:t>
      </w:r>
      <w:r>
        <w:rPr>
          <w:rFonts w:hint="eastAsia"/>
        </w:rPr>
        <w:t>）。</w:t>
      </w:r>
    </w:p>
    <w:p w14:paraId="259F9F8C">
      <w:pPr>
        <w:pStyle w:val="78"/>
        <w:ind w:firstLine="420"/>
        <w:rPr>
          <w:rFonts w:ascii="Times New Roman"/>
          <w:szCs w:val="24"/>
        </w:rPr>
      </w:pPr>
      <w:r>
        <w:rPr>
          <w:rFonts w:hint="eastAsia"/>
        </w:rPr>
        <w:t xml:space="preserve"> </w:t>
      </w:r>
      <w:r>
        <w:t xml:space="preserve">                    </w:t>
      </w:r>
      <w:r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sSubPr>
          <m:e>
            <m:r>
              <m:rPr/>
              <w:rPr>
                <w:rFonts w:ascii="Cambria Math"/>
                <w:sz w:val="24"/>
                <w:szCs w:val="24"/>
                <w:lang w:val="zh-CN"/>
              </w:rPr>
              <m:t>u</m:t>
            </m:r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e>
          <m:sub>
            <m:r>
              <m:rPr/>
              <w:rPr>
                <w:rFonts w:ascii="Cambria Math"/>
                <w:sz w:val="24"/>
                <w:szCs w:val="24"/>
              </w:rPr>
              <m:t>c</m:t>
            </m:r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zh-CN"/>
              </w:rPr>
              <m:t>Δ</m:t>
            </m:r>
            <m:r>
              <m:rPr/>
              <w:rPr>
                <w:rFonts w:ascii="Cambria Math" w:hAnsi="Cambria Math"/>
                <w:sz w:val="24"/>
                <w:szCs w:val="24"/>
                <w:lang w:val="zh-CN"/>
              </w:rPr>
              <m:t>T</m:t>
            </m:r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e>
        </m:d>
        <m:r>
          <m:rPr/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radPr>
          <m:deg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zh-CN"/>
                      </w:rPr>
                    </m:ctrlPr>
                  </m:dPr>
                  <m:e>
                    <m:r>
                      <m:rPr/>
                      <w:rPr>
                        <w:rFonts w:ascii="Cambria Math"/>
                        <w:sz w:val="24"/>
                        <w:szCs w:val="24"/>
                        <w:lang w:val="zh-CN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sz w:val="24"/>
                                <w:szCs w:val="24"/>
                                <w:lang w:val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kern w:val="2"/>
                                <w:sz w:val="24"/>
                                <w:szCs w:val="24"/>
                                <w:lang w:val="zh-CN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sz w:val="24"/>
                                <w:szCs w:val="24"/>
                                <w:lang w:val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kern w:val="2"/>
                                <w:sz w:val="24"/>
                                <w:szCs w:val="24"/>
                              </w:rPr>
                              <m:t>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sz w:val="24"/>
                                <w:szCs w:val="24"/>
                                <w:lang w:val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zh-CN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e>
              <m:sup>
                <m:r>
                  <m:rPr/>
                  <w:rPr>
                    <w:rFonts w:ascii="Cambria Math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sup>
            </m:sSup>
            <m:r>
              <m:rPr/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zh-CN"/>
                      </w:rPr>
                    </m:ctrlPr>
                  </m:dPr>
                  <m:e>
                    <m:r>
                      <m:rPr/>
                      <w:rPr>
                        <w:rFonts w:ascii="Cambria Math"/>
                        <w:sz w:val="24"/>
                        <w:szCs w:val="24"/>
                        <w:lang w:val="zh-CN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zh-CN"/>
                          </w:rPr>
                        </m:ctrlPr>
                      </m:dPr>
                      <m:e>
                        <m:acc>
                          <w:bookmarkStart w:id="56" w:name="OLE_LINK16"/>
                          <w:bookmarkStart w:id="57" w:name="OLE_LINK15"/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kern w:val="2"/>
                                <w:sz w:val="24"/>
                                <w:szCs w:val="24"/>
                                <w:lang w:val="zh-CN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zh-CN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kern w:val="2"/>
                                <w:sz w:val="24"/>
                                <w:szCs w:val="24"/>
                                <w:lang w:val="zh-CN"/>
                              </w:rPr>
                            </m:ctrlPr>
                          </m:e>
                        </m:acc>
                        <w:bookmarkEnd w:id="56"/>
                        <w:bookmarkEnd w:id="57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zh-CN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e>
              <m:sup>
                <m:r>
                  <m:rPr/>
                  <w:rPr>
                    <w:rFonts w:ascii="Cambria Math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sup>
            </m:sSup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e>
        </m:rad>
      </m:oMath>
      <w:r>
        <w:rPr>
          <w:rFonts w:hint="eastAsia"/>
          <w:sz w:val="24"/>
          <w:szCs w:val="24"/>
        </w:rPr>
        <w:t xml:space="preserve"> </w:t>
      </w:r>
      <w:r>
        <w:rPr>
          <w:rFonts w:hint="eastAsia"/>
        </w:rPr>
        <w:t xml:space="preserve">        </w:t>
      </w:r>
      <w:r>
        <w:t xml:space="preserve">     </w:t>
      </w:r>
      <w:r>
        <w:rPr>
          <w:rFonts w:hint="eastAsia"/>
        </w:rPr>
        <w:t xml:space="preserve">          </w:t>
      </w:r>
      <w:r>
        <w:rPr>
          <w:rFonts w:hint="eastAsia" w:ascii="Times New Roman"/>
          <w:szCs w:val="24"/>
        </w:rPr>
        <w:t>（</w:t>
      </w:r>
      <w:r>
        <w:rPr>
          <w:rFonts w:ascii="Times New Roman"/>
          <w:szCs w:val="24"/>
        </w:rPr>
        <w:t>C</w:t>
      </w:r>
      <w:r>
        <w:rPr>
          <w:rFonts w:hint="eastAsia" w:ascii="Times New Roman"/>
          <w:szCs w:val="24"/>
        </w:rPr>
        <w:t>.3）</w:t>
      </w:r>
    </w:p>
    <w:p w14:paraId="48A638F8">
      <w:pPr>
        <w:pStyle w:val="79"/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outlineLvl w:val="9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式中</w:t>
      </w:r>
      <w:r>
        <w:rPr>
          <w:rFonts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m:oMath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m:rPr/>
              <w:rPr>
                <w:rFonts w:ascii="Cambria Math" w:hAnsi="Cambria Math"/>
                <w:lang w:val="zh-CN"/>
              </w:rPr>
              <m:t>u</m:t>
            </m:r>
            <m:ctrlPr>
              <w:rPr>
                <w:rFonts w:ascii="Cambria Math" w:hAnsi="Cambria Math"/>
                <w:i/>
                <w:lang w:val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/>
                <w:lang w:val="zh-CN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zh-CN"/>
              </w:rPr>
              <m:t>Δ</m:t>
            </m:r>
            <m:r>
              <m:rPr/>
              <w:rPr>
                <w:rFonts w:ascii="Cambria Math" w:hAnsi="Cambria Math"/>
                <w:sz w:val="24"/>
                <w:szCs w:val="24"/>
                <w:lang w:val="zh-CN"/>
              </w:rPr>
              <m:t>T</m:t>
            </m:r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、</w:t>
      </w:r>
      <m:oMath>
        <m:r>
          <m:rPr/>
          <w:rPr>
            <w:rFonts w:ascii="Cambria Math"/>
            <w:color w:val="000000" w:themeColor="text1"/>
            <w:kern w:val="0"/>
            <w:sz w:val="24"/>
            <w:lang w:val="zh-CN"/>
            <w14:textFill>
              <w14:solidFill>
                <w14:schemeClr w14:val="tx1"/>
              </w14:solidFill>
            </w14:textFill>
          </w:rPr>
          <m:t>u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sSub>
              <m:sSubPr>
                <m:ctrlPr>
                  <w:rPr>
                    <w:rFonts w:ascii="Cambria Math" w:hAnsi="Cambria Math" w:eastAsia="宋体"/>
                    <w:i/>
                    <w:kern w:val="2"/>
                    <w:sz w:val="24"/>
                    <w:szCs w:val="24"/>
                    <w:lang w:val="zh-CN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kern w:val="2"/>
                    <w:sz w:val="24"/>
                    <w:szCs w:val="24"/>
                    <w:lang w:val="zh-CN"/>
                  </w:rPr>
                  <m:t>T</m:t>
                </m:r>
                <m:ctrlPr>
                  <w:rPr>
                    <w:rFonts w:ascii="Cambria Math" w:hAnsi="Cambria Math" w:eastAsia="宋体"/>
                    <w:i/>
                    <w:kern w:val="2"/>
                    <w:sz w:val="24"/>
                    <w:szCs w:val="24"/>
                    <w:lang w:val="zh-CN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  <w:kern w:val="2"/>
                    <w:sz w:val="24"/>
                    <w:szCs w:val="24"/>
                    <w:lang w:val="zh-CN"/>
                  </w:rPr>
                  <m:t>0</m:t>
                </m:r>
                <m:ctrlPr>
                  <w:rPr>
                    <w:rFonts w:ascii="Cambria Math" w:hAnsi="Cambria Math" w:eastAsia="宋体"/>
                    <w:i/>
                    <w:kern w:val="2"/>
                    <w:sz w:val="24"/>
                    <w:szCs w:val="24"/>
                    <w:lang w:val="zh-CN"/>
                  </w:rPr>
                </m:ctrlPr>
              </m:sub>
            </m:sSub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、</w:t>
      </w:r>
      <m:oMath>
        <m:r>
          <m:rPr/>
          <w:rPr>
            <w:rFonts w:ascii="Cambria Math"/>
            <w:color w:val="000000" w:themeColor="text1"/>
            <w:kern w:val="0"/>
            <w:sz w:val="24"/>
            <w:lang w:val="zh-CN"/>
            <w14:textFill>
              <w14:solidFill>
                <w14:schemeClr w14:val="tx1"/>
              </w14:solidFill>
            </w14:textFill>
          </w:rPr>
          <m:t>u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 w:eastAsia="宋体"/>
                    <w:kern w:val="2"/>
                    <w:sz w:val="24"/>
                    <w:szCs w:val="24"/>
                    <w:lang w:val="zh-CN"/>
                  </w:rPr>
                </m:ctrlPr>
              </m:accPr>
              <m:e>
                <m:r>
                  <m:rPr/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T</m:t>
                </m:r>
                <m:ctrlPr>
                  <w:rPr>
                    <w:rFonts w:ascii="Cambria Math" w:hAnsi="Cambria Math" w:eastAsia="宋体"/>
                    <w:kern w:val="2"/>
                    <w:sz w:val="24"/>
                    <w:szCs w:val="24"/>
                    <w:lang w:val="zh-CN"/>
                  </w:rPr>
                </m:ctrlPr>
              </m:e>
            </m:acc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分别为示值误差的合成标准不确定度，以及仪器示值、测温仪测试值引入的不确定度分量。</w:t>
      </w:r>
    </w:p>
    <w:p w14:paraId="4E570CFD">
      <w:pPr>
        <w:snapToGrid w:val="0"/>
        <w:spacing w:line="360" w:lineRule="auto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.3 不确定度分量一览表</w:t>
      </w:r>
    </w:p>
    <w:p w14:paraId="5FA4F6DB">
      <w:pPr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不确定度分量一览表列于表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.1。</w:t>
      </w:r>
    </w:p>
    <w:p w14:paraId="7E9B0C66">
      <w:pPr>
        <w:snapToGrid w:val="0"/>
        <w:spacing w:line="360" w:lineRule="auto"/>
        <w:jc w:val="center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t>表C</w:t>
      </w:r>
      <w:r>
        <w:rPr>
          <w:rFonts w:hint="eastAsia"/>
        </w:rPr>
        <w:t>.</w:t>
      </w:r>
      <w:r>
        <w:t>1 标准不确定度分量</w:t>
      </w:r>
      <w:r>
        <w:rPr>
          <w:rFonts w:hint="eastAsia"/>
        </w:rPr>
        <w:t>一览表</w:t>
      </w:r>
    </w:p>
    <w:tbl>
      <w:tblPr>
        <w:tblStyle w:val="3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9"/>
        <w:gridCol w:w="3168"/>
        <w:gridCol w:w="3169"/>
      </w:tblGrid>
      <w:tr w14:paraId="48B6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pct"/>
            <w:vAlign w:val="center"/>
          </w:tcPr>
          <w:p w14:paraId="1D379A9F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不确定度分量</w:t>
            </w:r>
          </w:p>
        </w:tc>
        <w:tc>
          <w:tcPr>
            <w:tcW w:w="1706" w:type="pct"/>
            <w:vAlign w:val="center"/>
          </w:tcPr>
          <w:p w14:paraId="79337916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不确定度来源</w:t>
            </w:r>
          </w:p>
        </w:tc>
        <w:tc>
          <w:tcPr>
            <w:tcW w:w="1706" w:type="pct"/>
          </w:tcPr>
          <w:p w14:paraId="46B92B17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不确定度分量</w:t>
            </w:r>
          </w:p>
        </w:tc>
      </w:tr>
      <w:tr w14:paraId="76E2E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88" w:type="pct"/>
            <w:vAlign w:val="center"/>
          </w:tcPr>
          <w:p w14:paraId="2D94A163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lang w:val="zh-CN"/>
              </w:rPr>
              <w:t>测温设备不确定度</w:t>
            </w:r>
            <m:oMath>
              <m:r>
                <m:rPr/>
                <w:rPr>
                  <w:rFonts w:ascii="Cambria Math"/>
                  <w:color w:val="000000" w:themeColor="text1"/>
                  <w:kern w:val="0"/>
                  <w:lang w:val="zh-CN"/>
                  <w14:textFill>
                    <w14:solidFill>
                      <w14:schemeClr w14:val="tx1"/>
                    </w14:solidFill>
                  </w14:textFill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kern w:val="0"/>
                      <w:lang w:val="zh-CN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szCs w:val="24"/>
                          <w:lang w:val="zh-CN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  <w:szCs w:val="24"/>
                          <w:lang w:val="zh-CN"/>
                        </w:rPr>
                        <m:t>T</m:t>
                      </m:r>
                      <m:ctrlPr>
                        <w:rPr>
                          <w:rFonts w:ascii="Cambria Math" w:hAnsi="Cambria Math" w:cs="Times New Roman"/>
                          <w:szCs w:val="24"/>
                          <w:lang w:val="zh-CN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color w:val="000000" w:themeColor="text1"/>
                      <w:kern w:val="0"/>
                      <w:lang w:val="zh-CN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</m:oMath>
          </w:p>
        </w:tc>
        <w:tc>
          <w:tcPr>
            <w:tcW w:w="1706" w:type="pct"/>
            <w:vAlign w:val="center"/>
          </w:tcPr>
          <w:p w14:paraId="3A0025C3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测温设备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引入的分量</w:t>
            </w:r>
          </w:p>
        </w:tc>
        <w:tc>
          <w:tcPr>
            <w:tcW w:w="1706" w:type="pct"/>
            <w:vAlign w:val="center"/>
          </w:tcPr>
          <w:p w14:paraId="32B578AA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435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588" w:type="pct"/>
            <w:vAlign w:val="center"/>
          </w:tcPr>
          <w:p w14:paraId="7AF3988F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仪器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示值不确定度</w:t>
            </w:r>
            <m:oMath>
              <m:r>
                <m:rPr/>
                <w:rPr>
                  <w:rFonts w:ascii="Cambria Math"/>
                  <w:lang w:val="zh-CN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val="zh-CN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val="zh-CN"/>
                        </w:rPr>
                        <m:t>0</m:t>
                      </m:r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e>
              </m:d>
            </m:oMath>
          </w:p>
        </w:tc>
        <w:tc>
          <w:tcPr>
            <w:tcW w:w="1706" w:type="pct"/>
            <w:vAlign w:val="center"/>
          </w:tcPr>
          <w:p w14:paraId="6E30B057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重复性引入的分量</w:t>
            </w:r>
          </w:p>
        </w:tc>
        <w:tc>
          <w:tcPr>
            <w:tcW w:w="1706" w:type="pct"/>
            <w:vAlign w:val="center"/>
          </w:tcPr>
          <w:p w14:paraId="5CE9E653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</w:tbl>
    <w:p w14:paraId="58F3B0E4">
      <w:pPr>
        <w:spacing w:line="360" w:lineRule="auto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</w:t>
      </w: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不确定度</w:t>
      </w:r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分量的</w:t>
      </w: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评定</w:t>
      </w:r>
    </w:p>
    <w:p w14:paraId="17D60FF2">
      <w:pPr>
        <w:pStyle w:val="23"/>
        <w:spacing w:line="360" w:lineRule="auto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.4.1 测温设备引入的不确定度分量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</w:p>
    <w:p w14:paraId="0A2E66B9">
      <w:pPr>
        <w:pStyle w:val="23"/>
        <w:spacing w:line="36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采用温度巡检仪对凝点测定仪的设定温度进行校准，从校准证书中查询温度巡检仪的扩展不确定度为0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.04 ℃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k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=2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温度巡检仪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引入的不确定度分量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按下式计算：</w:t>
      </w:r>
    </w:p>
    <w:p w14:paraId="31277657">
      <w:pPr>
        <w:pStyle w:val="23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u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0.04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Times New Roman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0.02 ℃</w:t>
      </w:r>
    </w:p>
    <w:p w14:paraId="79ECDE86">
      <w:pPr>
        <w:pStyle w:val="23"/>
        <w:spacing w:line="360" w:lineRule="auto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.4.</w:t>
      </w: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重复性引入不确定度分量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</w:p>
    <w:p w14:paraId="0F21AF59">
      <w:pPr>
        <w:pStyle w:val="23"/>
        <w:spacing w:line="36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对标准物质重复测量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次，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测量结果分别为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9.0 ℃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8.0 ℃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.0 ℃，用极差法计算重复性引入的不确定度分量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，按下式计算：</w:t>
      </w:r>
    </w:p>
    <w:p w14:paraId="1A5095C4">
      <w:pPr>
        <w:pStyle w:val="23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sSubPr>
            <m:e>
              <m:r>
                <m:rPr/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  <m:t>u</m:t>
              </m: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  <m:t xml:space="preserve">2 </m:t>
              </m: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sub>
          </m:sSub>
          <m:r>
            <m:rPr/>
            <w:rPr>
              <w:rFonts w:ascii="Cambria Math" w:hAnsi="Cambria Math" w:cs="Times New Roman"/>
              <w:color w:val="000000" w:themeColor="text1"/>
              <w:sz w:val="24"/>
              <w:szCs w:val="24"/>
              <w14:textFill>
                <w14:solidFill>
                  <w14:schemeClr w14:val="tx1"/>
                </w14:solidFill>
              </w14:textFill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  <m:t>−8.0</m:t>
                  </m: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m:t>−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  <m:t>−9.0</m:t>
                  </m: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</m:ctrlPr>
            </m:num>
            <m:den>
              <m:r>
                <m:rPr/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m:t>1.69×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radPr>
                <m:deg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eg>
                <m:e>
                  <m:r>
                    <m:rPr/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  <m:t>3</m:t>
                  </m: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rad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</m:ctrlP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  <w14:textFill>
                <w14:solidFill>
                  <w14:schemeClr w14:val="tx1"/>
                </w14:solidFill>
              </w14:textFill>
            </w:rPr>
            <m:t>=0.34 ℃</m:t>
          </m:r>
        </m:oMath>
      </m:oMathPara>
    </w:p>
    <w:p w14:paraId="75F4882F">
      <w:pPr>
        <w:pStyle w:val="23"/>
        <w:spacing w:line="360" w:lineRule="auto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.5 合成标准不确定度</w:t>
      </w:r>
    </w:p>
    <w:p w14:paraId="41197094">
      <w:pPr>
        <w:pStyle w:val="23"/>
        <w:spacing w:line="360" w:lineRule="auto"/>
        <w:ind w:firstLine="48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由式计算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合成标准不确定度</w:t>
      </w:r>
      <w:r>
        <w:rPr>
          <w:i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u</w:t>
      </w:r>
      <w:r>
        <w:rPr>
          <w:color w:val="000000" w:themeColor="text1"/>
          <w:kern w:val="0"/>
          <w:sz w:val="24"/>
          <w:vertAlign w:val="subscript"/>
          <w:lang w:val="zh-CN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 w14:paraId="0800C133">
      <w:pPr>
        <w:pStyle w:val="23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hint="eastAsia"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u</m:t>
            </m: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sSubSup>
              <m:sSub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m:r>
              <m:rPr/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0.34 ℃</w:t>
      </w:r>
    </w:p>
    <w:p w14:paraId="2000766E">
      <w:pPr>
        <w:pStyle w:val="23"/>
        <w:spacing w:line="36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.6 扩展不确定度</w:t>
      </w:r>
    </w:p>
    <w:p w14:paraId="4CCC1694">
      <w:pPr>
        <w:snapToGrid w:val="0"/>
        <w:spacing w:line="360" w:lineRule="auto"/>
        <w:ind w:firstLine="480" w:firstLine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取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包含因子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k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=2，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凝点示值误差测量结果的扩展不确定度为：</w:t>
      </w:r>
    </w:p>
    <w:p w14:paraId="1B85337D">
      <w:pPr>
        <w:pStyle w:val="78"/>
      </w:pPr>
      <m:oMath>
        <m:r>
          <m:rPr/>
          <w:rPr>
            <w:rFonts w:asci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U=k</m:t>
        </m:r>
        <m:r>
          <m:rPr/>
          <w:rPr>
            <w:rFonts w:ascii="Cambria Math" w:hAnsi="Cambria Math" w:cs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⋅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u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=2×</w:t>
      </w:r>
      <w:r>
        <w:rPr>
          <w:rFonts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0.34</w:t>
      </w:r>
      <w:r>
        <w:rPr>
          <w:rFonts w:hint="eastAsia"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0.68 ℃</w:t>
      </w:r>
    </w:p>
    <w:p w14:paraId="35868D79">
      <w:pPr>
        <w:widowControl/>
        <w:snapToGrid w:val="0"/>
        <w:spacing w:line="360" w:lineRule="auto"/>
        <w:ind w:firstLine="560" w:firstLineChars="200"/>
        <w:jc w:val="left"/>
        <w:rPr>
          <w:rFonts w:eastAsia="黑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1154F8B8">
      <w:pPr>
        <w:pStyle w:val="2"/>
        <w:rPr>
          <w:rFonts w:ascii="黑体" w:hAnsi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58" w:name="_Toc206493361"/>
      <w:r>
        <w:rPr>
          <w:rFonts w:hint="eastAsia" w:ascii="黑体" w:hAnsi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附录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</w:t>
      </w:r>
      <w:bookmarkEnd w:id="58"/>
    </w:p>
    <w:p w14:paraId="5E585491">
      <w:pPr>
        <w:pStyle w:val="104"/>
        <w:numPr>
          <w:ilvl w:val="0"/>
          <w:numId w:val="0"/>
        </w:numPr>
        <w:tabs>
          <w:tab w:val="left" w:pos="2400"/>
          <w:tab w:val="center" w:pos="4535"/>
        </w:tabs>
        <w:spacing w:before="0" w:after="0" w:line="360" w:lineRule="auto"/>
        <w:jc w:val="left"/>
        <w:outlineLvl w:val="9"/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凝点</w:t>
      </w:r>
      <w:r>
        <w:rPr>
          <w:rFonts w:asci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示值误差不确定度评定示例</w:t>
      </w:r>
    </w:p>
    <w:p w14:paraId="78EC29FD">
      <w:pPr>
        <w:pStyle w:val="20"/>
      </w:pPr>
    </w:p>
    <w:p w14:paraId="63A0EA37">
      <w:pPr>
        <w:spacing w:line="360" w:lineRule="auto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59" w:name="OLE_LINK3"/>
      <w:bookmarkStart w:id="60" w:name="OLE_LINK4"/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测量方法</w:t>
      </w:r>
    </w:p>
    <w:bookmarkEnd w:id="59"/>
    <w:bookmarkEnd w:id="60"/>
    <w:p w14:paraId="442B7115">
      <w:pPr>
        <w:spacing w:line="360" w:lineRule="auto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在本次评定实验中，</w:t>
      </w:r>
      <w:bookmarkStart w:id="61" w:name="OLE_LINK11"/>
      <w:bookmarkStart w:id="62" w:name="OLE_LINK10"/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选用国家有证凝点标准物质GBW（E）作为测量样品，凝点为-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0.7 ℃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U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 ℃（</w:t>
      </w:r>
      <w:r>
        <w:rPr>
          <w:rFonts w:hint="eastAsia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k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=2）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。按规范7.3内容对凝点测定仪进行凝点示值误差的校准，测定仪3次测量结果的平均值与标准物质认标准的差值为凝点示值误差。</w:t>
      </w:r>
    </w:p>
    <w:bookmarkEnd w:id="61"/>
    <w:bookmarkEnd w:id="62"/>
    <w:p w14:paraId="0A99E9C0">
      <w:pPr>
        <w:snapToGrid w:val="0"/>
        <w:spacing w:line="360" w:lineRule="auto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.2 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测量模型及不确定度计算公式</w:t>
      </w:r>
    </w:p>
    <w:p w14:paraId="291ADFC4">
      <w:pPr>
        <w:snapToGrid w:val="0"/>
        <w:spacing w:line="360" w:lineRule="auto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.2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.1 测量模型</w:t>
      </w:r>
    </w:p>
    <w:p w14:paraId="45F24565">
      <w:pPr>
        <w:snapToGrid w:val="0"/>
        <w:spacing w:line="360" w:lineRule="auto"/>
        <w:ind w:firstLine="480" w:firstLine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凝点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示值误差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为：</w:t>
      </w:r>
    </w:p>
    <w:p w14:paraId="7C8A8B6F">
      <w:pPr>
        <w:spacing w:line="360" w:lineRule="auto"/>
        <w:ind w:firstLine="3360" w:firstLineChars="14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asci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Δ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accPr>
              <m:e>
                <m:r>
                  <m:rPr/>
                  <w:rPr>
                    <w:rFonts w:asci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T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acc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−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r>
              <m:rPr>
                <m:sty m:val="p"/>
              </m:rPr>
              <w:rPr>
                <w:rFonts w:hint="eastAsia" w:asci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.1）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701F7E78">
      <w:pPr>
        <w:spacing w:line="360" w:lineRule="auto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式中：</w:t>
      </w:r>
    </w:p>
    <w:p w14:paraId="20B0CA6F">
      <w:pPr>
        <w:pStyle w:val="23"/>
        <w:spacing w:line="36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ascii="Cambria Math" w:hAnsi="Times New Roman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Δ</m:t>
        </m:r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凝点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示值误差，℃；</w:t>
      </w:r>
    </w:p>
    <w:p w14:paraId="75CE5990">
      <w:pPr>
        <w:pStyle w:val="23"/>
        <w:spacing w:line="36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Times New Roman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accPr>
              <m:e>
                <m:r>
                  <m:rPr/>
                  <w:rPr>
                    <w:rFonts w:ascii="Cambria Math" w:hAnsi="Times New Roman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T</m:t>
                </m:r>
                <m:ctrlPr>
                  <w:rPr>
                    <w:rFonts w:ascii="Cambria Math" w:hAnsi="Times New Roman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acc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次凝点测量</w:t>
      </w:r>
      <w:r>
        <w:rPr>
          <w:rFonts w:hint="eastAsia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结果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算术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平均值，℃；</w:t>
      </w:r>
    </w:p>
    <w:p w14:paraId="4FEAC673">
      <w:pPr>
        <w:pStyle w:val="23"/>
        <w:spacing w:line="36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r>
              <m:rPr>
                <m:sty m:val="p"/>
              </m:rPr>
              <w:rPr>
                <w:rFonts w:hint="eastAsia"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凝点标准物质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标准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值，℃。</w:t>
      </w:r>
    </w:p>
    <w:p w14:paraId="2AC24EAB">
      <w:pPr>
        <w:snapToGrid w:val="0"/>
        <w:spacing w:line="360" w:lineRule="auto"/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合成标准不确定度计算公式</w:t>
      </w:r>
    </w:p>
    <w:p w14:paraId="1F21524B">
      <w:pPr>
        <w:snapToGrid w:val="0"/>
        <w:spacing w:line="360" w:lineRule="auto"/>
        <w:ind w:firstLine="480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根据式（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.1）的测量模型，输入量</w:t>
      </w:r>
      <m:oMath>
        <m:sSub>
          <w:bookmarkStart w:id="63" w:name="OLE_LINK5"/>
          <w:bookmarkStart w:id="64" w:name="OLE_LINK13"/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accPr>
              <m:e>
                <m:r>
                  <m:rPr/>
                  <w:rPr>
                    <w:rFonts w:asci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T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acc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ss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  <w:bookmarkEnd w:id="63"/>
            <w:bookmarkEnd w:id="64"/>
          </m:sub>
        </m:sSub>
      </m:oMath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的不确定度之间不相关，由不确定度传播律，可以得到合成标准不确定度的计算公式（C.2）。</w:t>
      </w:r>
    </w:p>
    <w:p w14:paraId="6100CF6F">
      <w:pPr>
        <w:snapToGrid w:val="0"/>
        <w:spacing w:line="360" w:lineRule="auto"/>
        <w:ind w:firstLine="480" w:firstLineChars="200"/>
        <w:jc w:val="center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  <m:t>u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</m:d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e>
            </m:d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SubSupPr>
          <m:e>
            <m:r>
              <m:rPr/>
              <w:rPr>
                <w:rFonts w:ascii="Cambria Math" w:hAnsi="Cambria Math"/>
                <w:sz w:val="24"/>
                <w:szCs w:val="24"/>
                <w:lang w:val="zh-CN"/>
              </w:rPr>
              <m:t>c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p>
        </m:sSubSup>
        <m:sSup>
          <m:sSupP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dPr>
              <m:e>
                <m:r>
                  <m:rPr/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sSubPr>
                      <m:e>
                        <m:acc>
                          <m:accPr>
                            <m:chr m:val="̄"/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zh-CN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zh-CN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zh-CN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</m:d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e>
            </m:d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SubSupPr>
          <m:e>
            <m:r>
              <m:rPr/>
              <w:rPr>
                <w:rFonts w:ascii="Cambria Math" w:hAnsi="Cambria Math"/>
                <w:sz w:val="24"/>
                <w:szCs w:val="24"/>
                <w:lang w:val="zh-CN"/>
              </w:rPr>
              <m:t>c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p>
        </m:sSubSup>
        <m:sSup>
          <m:sSupP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dPr>
              <m:e>
                <m:r>
                  <m:rPr/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ss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</m:d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e>
            </m:d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  <w:lang w:val="zh-CN"/>
              </w:rPr>
            </m:ctrlPr>
          </m:sup>
        </m:sSup>
      </m:oMath>
      <w:r>
        <w:rPr>
          <w:rFonts w:hint="eastAsia"/>
          <w:sz w:val="24"/>
          <w:szCs w:val="24"/>
        </w:rPr>
        <w:t xml:space="preserve">                 （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.2）</w:t>
      </w:r>
    </w:p>
    <w:p w14:paraId="0B6FEFC4">
      <w:pPr>
        <w:pStyle w:val="79"/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outlineLvl w:val="9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position w:val="-28"/>
          <w:sz w:val="24"/>
          <w14:textFill>
            <w14:solidFill>
              <w14:schemeClr w14:val="tx1"/>
            </w14:solidFill>
          </w14:textFill>
        </w:rPr>
        <w:t>灵敏系数为：</w:t>
      </w:r>
    </w:p>
    <w:p w14:paraId="6CC9EC7C">
      <w:pPr>
        <w:pStyle w:val="79"/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jc w:val="center"/>
        <w:outlineLvl w:val="9"/>
        <w:rPr>
          <w:rFonts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∂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  <m:t>T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∂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accPr>
                      <m:e>
                        <m:r>
                          <m:rPr/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zh-CN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=1</m:t>
        </m:r>
      </m:oMath>
      <w:r>
        <w:rPr>
          <w:rFonts w:hint="eastAsia"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∂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  <m:t>T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∂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  <m:t>T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ss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ctrlPr>
              <w:rPr>
                <w:rFonts w:ascii="Cambria Math" w:hAnsi="Cambria Math"/>
                <w:bCs/>
                <w:i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=−1</m:t>
        </m:r>
      </m:oMath>
    </w:p>
    <w:p w14:paraId="59C7C8E2">
      <w:pPr>
        <w:pStyle w:val="78"/>
        <w:ind w:firstLine="420"/>
        <w:jc w:val="both"/>
      </w:pPr>
      <w:r>
        <w:rPr>
          <w:rFonts w:hint="eastAsia"/>
        </w:rPr>
        <w:t>将灵敏系数代入式（</w:t>
      </w:r>
      <w:r>
        <w:rPr>
          <w:rFonts w:ascii="Times New Roman"/>
        </w:rPr>
        <w:t>C.2</w:t>
      </w:r>
      <w:r>
        <w:rPr>
          <w:rFonts w:hint="eastAsia"/>
        </w:rPr>
        <w:t>），则式（</w:t>
      </w:r>
      <w:r>
        <w:rPr>
          <w:rFonts w:ascii="Times New Roman"/>
        </w:rPr>
        <w:t>C.2</w:t>
      </w:r>
      <w:r>
        <w:rPr>
          <w:rFonts w:hint="eastAsia"/>
        </w:rPr>
        <w:t>）可简化为式（</w:t>
      </w:r>
      <w:r>
        <w:rPr>
          <w:rFonts w:ascii="Times New Roman"/>
          <w:szCs w:val="24"/>
        </w:rPr>
        <w:t>C</w:t>
      </w:r>
      <w:r>
        <w:rPr>
          <w:rFonts w:hint="eastAsia" w:ascii="Times New Roman"/>
          <w:szCs w:val="24"/>
        </w:rPr>
        <w:t>.3</w:t>
      </w:r>
      <w:r>
        <w:rPr>
          <w:rFonts w:hint="eastAsia"/>
        </w:rPr>
        <w:t>）。</w:t>
      </w:r>
    </w:p>
    <w:p w14:paraId="5C1AC3F5">
      <w:pPr>
        <w:pStyle w:val="78"/>
        <w:ind w:firstLine="420"/>
        <w:rPr>
          <w:rFonts w:ascii="Times New Roman"/>
          <w:szCs w:val="24"/>
        </w:rPr>
      </w:pPr>
      <w:r>
        <w:rPr>
          <w:rFonts w:hint="eastAsia"/>
        </w:rPr>
        <w:t xml:space="preserve"> </w:t>
      </w:r>
      <w:r>
        <w:t xml:space="preserve">                    </w:t>
      </w:r>
      <w:r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sSubPr>
          <m:e>
            <m:r>
              <m:rPr/>
              <w:rPr>
                <w:rFonts w:ascii="Cambria Math"/>
                <w:sz w:val="24"/>
                <w:szCs w:val="24"/>
                <w:lang w:val="zh-CN"/>
              </w:rPr>
              <m:t>u</m:t>
            </m:r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e>
          <m:sub>
            <m:r>
              <m:rPr/>
              <w:rPr>
                <w:rFonts w:ascii="Cambria Math"/>
                <w:sz w:val="24"/>
                <w:szCs w:val="24"/>
              </w:rPr>
              <m:t>c</m:t>
            </m:r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zh-CN"/>
              </w:rPr>
              <m:t>Δ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sub>
            </m:sSub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e>
        </m:d>
        <m:r>
          <m:rPr/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radPr>
          <m:deg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zh-CN"/>
                      </w:rPr>
                    </m:ctrlPr>
                  </m:dPr>
                  <m:e>
                    <m:r>
                      <m:rPr/>
                      <w:rPr>
                        <w:rFonts w:ascii="Cambria Math"/>
                        <w:sz w:val="24"/>
                        <w:szCs w:val="24"/>
                        <w:lang w:val="zh-CN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zh-CN"/>
                              </w:rPr>
                            </m:ctrlPr>
                          </m:sSubPr>
                          <m:e>
                            <m:acc>
                              <m:accPr>
                                <m:chr m:val="̄"/>
                                <m:ctrl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zh-CN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zh-CN"/>
                                  </w:rPr>
                                  <m:t>T</m:t>
                                </m:r>
                                <m:ctrl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zh-CN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zh-CN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zh-CN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e>
              <m:sup>
                <m:r>
                  <m:rPr/>
                  <w:rPr>
                    <w:rFonts w:ascii="Cambria Math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sup>
            </m:sSup>
            <m:r>
              <m:rPr/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zh-CN"/>
                      </w:rPr>
                    </m:ctrlPr>
                  </m:dPr>
                  <m:e>
                    <m:r>
                      <m:rPr/>
                      <w:rPr>
                        <w:rFonts w:ascii="Cambria Math"/>
                        <w:sz w:val="24"/>
                        <w:szCs w:val="24"/>
                        <w:lang w:val="zh-CN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zh-CN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zh-CN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ss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zh-CN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e>
              <m:sup>
                <m:r>
                  <m:rPr/>
                  <w:rPr>
                    <w:rFonts w:ascii="Cambria Math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lang w:val="zh-CN"/>
                  </w:rPr>
                </m:ctrlPr>
              </m:sup>
            </m:sSup>
            <m:ctrlPr>
              <w:rPr>
                <w:rFonts w:ascii="Cambria Math" w:hAnsi="Cambria Math"/>
                <w:i/>
                <w:sz w:val="24"/>
                <w:szCs w:val="24"/>
                <w:lang w:val="zh-CN"/>
              </w:rPr>
            </m:ctrlPr>
          </m:e>
        </m:rad>
      </m:oMath>
      <w:r>
        <w:rPr>
          <w:rFonts w:hint="eastAsia"/>
          <w:sz w:val="24"/>
          <w:szCs w:val="24"/>
        </w:rPr>
        <w:t xml:space="preserve"> </w:t>
      </w:r>
      <w:r>
        <w:rPr>
          <w:rFonts w:hint="eastAsia"/>
        </w:rPr>
        <w:t xml:space="preserve">        </w:t>
      </w:r>
      <w:r>
        <w:t xml:space="preserve">     </w:t>
      </w:r>
      <w:r>
        <w:rPr>
          <w:rFonts w:hint="eastAsia"/>
        </w:rPr>
        <w:t xml:space="preserve">          </w:t>
      </w:r>
      <w:r>
        <w:rPr>
          <w:rFonts w:hint="eastAsia" w:ascii="Times New Roman"/>
          <w:szCs w:val="24"/>
        </w:rPr>
        <w:t>（</w:t>
      </w:r>
      <w:r>
        <w:rPr>
          <w:rFonts w:ascii="Times New Roman"/>
          <w:szCs w:val="24"/>
        </w:rPr>
        <w:t>C</w:t>
      </w:r>
      <w:r>
        <w:rPr>
          <w:rFonts w:hint="eastAsia" w:ascii="Times New Roman"/>
          <w:szCs w:val="24"/>
        </w:rPr>
        <w:t>.3）</w:t>
      </w:r>
    </w:p>
    <w:p w14:paraId="775A2A3F">
      <w:pPr>
        <w:pStyle w:val="79"/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式中</w:t>
      </w:r>
      <w:r>
        <w:rPr>
          <w:rFonts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m:t>u</m:t>
            </m:r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zh-CN"/>
              </w:rPr>
              <m:t>Δ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sub>
            </m:sSub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、</w:t>
      </w:r>
      <m:oMath>
        <m:r>
          <m:rPr/>
          <w:rPr>
            <w:rFonts w:ascii="Cambria Math"/>
            <w:color w:val="000000" w:themeColor="text1"/>
            <w:kern w:val="0"/>
            <w:sz w:val="24"/>
            <w:lang w:val="zh-CN"/>
            <w14:textFill>
              <w14:solidFill>
                <w14:schemeClr w14:val="tx1"/>
              </w14:solidFill>
            </w14:textFill>
          </w:rPr>
          <m:t>u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sSubPr>
              <m:e>
                <m:acc>
                  <m:accPr>
                    <m:chr m:val="̄"/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  <m:t>T</m:t>
                    </m:r>
                    <m:ctrlPr>
                      <w:rPr>
                        <w:rFonts w:ascii="Cambria Math" w:hAnsi="Cambria Math"/>
                        <w:sz w:val="24"/>
                        <w:szCs w:val="24"/>
                        <w:lang w:val="zh-CN"/>
                      </w:rPr>
                    </m:ctrlPr>
                  </m:e>
                </m:acc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sub>
            </m:sSub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、</w:t>
      </w:r>
      <m:oMath>
        <m:r>
          <m:rPr/>
          <w:rPr>
            <w:rFonts w:ascii="Cambria Math"/>
            <w:color w:val="000000" w:themeColor="text1"/>
            <w:kern w:val="0"/>
            <w:sz w:val="24"/>
            <w:lang w:val="zh-CN"/>
            <w14:textFill>
              <w14:solidFill>
                <w14:schemeClr w14:val="tx1"/>
              </w14:solidFill>
            </w14:textFill>
          </w:rPr>
          <m:t>u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  <w:szCs w:val="24"/>
                    <w:lang w:val="zh-CN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ss</m:t>
                </m:r>
                <m:ctrlPr>
                  <w:rPr>
                    <w:rFonts w:ascii="Cambria Math" w:hAnsi="Cambria Math"/>
                    <w:sz w:val="24"/>
                    <w:szCs w:val="24"/>
                    <w:lang w:val="zh-CN"/>
                  </w:rPr>
                </m:ctrlPr>
              </m:sub>
            </m:sSub>
            <m:ctrlPr>
              <w:rPr>
                <w:rFonts w:ascii="Cambria Math" w:hAnsi="Cambria Math"/>
                <w:i/>
                <w:color w:val="000000" w:themeColor="text1"/>
                <w:kern w:val="0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分别为示值误差的合成标准不确定度，以及仪器示值、标准物质标准值引入的不确定度分量。</w:t>
      </w:r>
    </w:p>
    <w:p w14:paraId="75263511">
      <w:pPr>
        <w:spacing w:line="360" w:lineRule="auto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.3 不确定度分量一览表</w:t>
      </w:r>
    </w:p>
    <w:p w14:paraId="504CBFE1">
      <w:pPr>
        <w:spacing w:line="360" w:lineRule="auto"/>
        <w:ind w:firstLine="480" w:firstLineChars="200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21"/>
          <w:sz w:val="24"/>
          <w:szCs w:val="24"/>
          <w14:textFill>
            <w14:solidFill>
              <w14:schemeClr w14:val="tx1"/>
            </w14:solidFill>
          </w14:textFill>
        </w:rPr>
        <w:t>不确定度分量一览表列于表</w:t>
      </w:r>
      <w:r>
        <w:rPr>
          <w:color w:val="000000" w:themeColor="text1"/>
          <w:kern w:val="21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kern w:val="21"/>
          <w:sz w:val="24"/>
          <w:szCs w:val="24"/>
          <w14:textFill>
            <w14:solidFill>
              <w14:schemeClr w14:val="tx1"/>
            </w14:solidFill>
          </w14:textFill>
        </w:rPr>
        <w:t>.1。</w:t>
      </w:r>
    </w:p>
    <w:p w14:paraId="76D65359">
      <w:pPr>
        <w:spacing w:line="300" w:lineRule="auto"/>
        <w:jc w:val="center"/>
        <w:rPr>
          <w:rFonts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表C</w:t>
      </w:r>
      <w:r>
        <w:rPr>
          <w:rFonts w:hint="eastAsia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1 标准不确定度分量</w:t>
      </w:r>
      <w:r>
        <w:rPr>
          <w:rFonts w:hint="eastAsia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一览表</w:t>
      </w:r>
    </w:p>
    <w:tbl>
      <w:tblPr>
        <w:tblStyle w:val="3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9"/>
        <w:gridCol w:w="3168"/>
        <w:gridCol w:w="3169"/>
      </w:tblGrid>
      <w:tr w14:paraId="14E8F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pct"/>
            <w:vAlign w:val="center"/>
          </w:tcPr>
          <w:p w14:paraId="2DD7F6D3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不确定度分量</w:t>
            </w:r>
          </w:p>
        </w:tc>
        <w:tc>
          <w:tcPr>
            <w:tcW w:w="1706" w:type="pct"/>
            <w:vAlign w:val="center"/>
          </w:tcPr>
          <w:p w14:paraId="7BA4B068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不确定度来源</w:t>
            </w:r>
          </w:p>
        </w:tc>
        <w:tc>
          <w:tcPr>
            <w:tcW w:w="1706" w:type="pct"/>
          </w:tcPr>
          <w:p w14:paraId="096EDABE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不确定度分量</w:t>
            </w:r>
          </w:p>
        </w:tc>
      </w:tr>
      <w:tr w14:paraId="18FF9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88" w:type="pct"/>
            <w:vAlign w:val="center"/>
          </w:tcPr>
          <w:p w14:paraId="50231EA9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标准值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不确定度</w:t>
            </w:r>
            <m:oMath>
              <m:r>
                <m:rPr/>
                <w:rPr>
                  <w:rFonts w:ascii="Cambria Math"/>
                  <w:lang w:val="zh-CN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/>
                          <w:lang w:val="zh-CN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/>
                        </w:rPr>
                        <m:t>ss</m:t>
                      </m:r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e>
              </m:d>
            </m:oMath>
          </w:p>
        </w:tc>
        <w:tc>
          <w:tcPr>
            <w:tcW w:w="1706" w:type="pct"/>
            <w:vAlign w:val="center"/>
          </w:tcPr>
          <w:p w14:paraId="16554F53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标准物质引入的分量</w:t>
            </w:r>
          </w:p>
        </w:tc>
        <w:tc>
          <w:tcPr>
            <w:tcW w:w="1706" w:type="pct"/>
            <w:vAlign w:val="center"/>
          </w:tcPr>
          <w:p w14:paraId="788B31CA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CCE2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588" w:type="pct"/>
            <w:vMerge w:val="restart"/>
            <w:vAlign w:val="center"/>
          </w:tcPr>
          <w:p w14:paraId="2BA06E13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仪器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示值不确定度</w:t>
            </w:r>
            <m:oMath>
              <m:r>
                <m:rPr/>
                <w:rPr>
                  <w:rFonts w:ascii="Cambria Math"/>
                  <w:lang w:val="zh-CN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sSubPr>
                    <m:e>
                      <m:acc>
                        <m:accPr>
                          <m:chr m:val="̄"/>
                          <m:ctrlPr>
                            <w:rPr>
                              <w:rFonts w:ascii="Cambria Math" w:hAnsi="Cambria Math"/>
                              <w:i/>
                              <w:lang w:val="zh-CN"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/>
                              <w:lang w:val="zh-CN"/>
                            </w:rPr>
                            <m:t>T</m:t>
                          </m:r>
                          <m:ctrlPr>
                            <w:rPr>
                              <w:rFonts w:ascii="Cambria Math" w:hAnsi="Cambria Math"/>
                              <w:i/>
                              <w:lang w:val="zh-CN"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lang w:val="zh-CN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e>
              </m:d>
            </m:oMath>
          </w:p>
        </w:tc>
        <w:tc>
          <w:tcPr>
            <w:tcW w:w="1706" w:type="pct"/>
            <w:vAlign w:val="center"/>
          </w:tcPr>
          <w:p w14:paraId="3CCB5751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重复性引入的分量</w:t>
            </w:r>
          </w:p>
        </w:tc>
        <w:tc>
          <w:tcPr>
            <w:tcW w:w="1706" w:type="pct"/>
            <w:vAlign w:val="center"/>
          </w:tcPr>
          <w:p w14:paraId="13DFB4B5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346CB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88" w:type="pct"/>
            <w:vMerge w:val="continue"/>
            <w:vAlign w:val="center"/>
          </w:tcPr>
          <w:p w14:paraId="073B4ADD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pct"/>
            <w:vAlign w:val="center"/>
          </w:tcPr>
          <w:p w14:paraId="14EE43EA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数据修约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引入的分量</w:t>
            </w:r>
          </w:p>
        </w:tc>
        <w:tc>
          <w:tcPr>
            <w:tcW w:w="1706" w:type="pct"/>
            <w:vAlign w:val="center"/>
          </w:tcPr>
          <w:p w14:paraId="584683D1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130A1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88" w:type="pct"/>
            <w:vMerge w:val="continue"/>
            <w:vAlign w:val="center"/>
          </w:tcPr>
          <w:p w14:paraId="6418C96F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pct"/>
            <w:vAlign w:val="center"/>
          </w:tcPr>
          <w:p w14:paraId="25F49579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冷浴槽温度示值误差引入的分量</w:t>
            </w:r>
          </w:p>
        </w:tc>
        <w:tc>
          <w:tcPr>
            <w:tcW w:w="1706" w:type="pct"/>
            <w:vAlign w:val="center"/>
          </w:tcPr>
          <w:p w14:paraId="3316F6E2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10550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88" w:type="pct"/>
            <w:vMerge w:val="continue"/>
            <w:vAlign w:val="center"/>
          </w:tcPr>
          <w:p w14:paraId="22652FCA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pct"/>
            <w:vAlign w:val="center"/>
          </w:tcPr>
          <w:p w14:paraId="1EE72C9B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温度计引入的分量</w:t>
            </w:r>
          </w:p>
        </w:tc>
        <w:tc>
          <w:tcPr>
            <w:tcW w:w="1706" w:type="pct"/>
          </w:tcPr>
          <w:p w14:paraId="25A6F015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0DA4A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88" w:type="pct"/>
            <w:vMerge w:val="continue"/>
            <w:vAlign w:val="center"/>
          </w:tcPr>
          <w:p w14:paraId="7DBDF439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pct"/>
            <w:vAlign w:val="center"/>
          </w:tcPr>
          <w:p w14:paraId="7B4F39D8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电子秒表引入的分量</w:t>
            </w:r>
          </w:p>
        </w:tc>
        <w:tc>
          <w:tcPr>
            <w:tcW w:w="1706" w:type="pct"/>
          </w:tcPr>
          <w:p w14:paraId="296B1F83">
            <w:pPr>
              <w:pStyle w:val="23"/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</w:tbl>
    <w:p w14:paraId="1B22785A">
      <w:pPr>
        <w:spacing w:line="360" w:lineRule="auto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65" w:name="OLE_LINK17"/>
      <w:bookmarkStart w:id="66" w:name="OLE_LINK18"/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</w:t>
      </w: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不确定度</w:t>
      </w:r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分量的</w:t>
      </w: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评定</w:t>
      </w:r>
    </w:p>
    <w:p w14:paraId="19630D32">
      <w:pPr>
        <w:pStyle w:val="23"/>
        <w:spacing w:line="360" w:lineRule="auto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.4.1 标准物质标准值引入的不确定度分量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</w:p>
    <w:p w14:paraId="54B4F57F">
      <w:pPr>
        <w:pStyle w:val="23"/>
        <w:spacing w:line="36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校准所用标准物质的证书上可查到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标准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值的扩展不确定度和包含因子，以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凝点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标准物质GBW(E)为例，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U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 ℃（</w:t>
      </w:r>
      <w:r>
        <w:rPr>
          <w:rFonts w:hint="eastAsia"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k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=2），则标准物质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标准值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引入的不确定度分量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按下式计算：</w:t>
      </w:r>
    </w:p>
    <w:p w14:paraId="6026B43A">
      <w:pPr>
        <w:pStyle w:val="23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u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2.8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Times New Roman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 ℃</w:t>
      </w:r>
    </w:p>
    <w:bookmarkEnd w:id="65"/>
    <w:bookmarkEnd w:id="66"/>
    <w:p w14:paraId="1D1D207A">
      <w:pPr>
        <w:pStyle w:val="23"/>
        <w:spacing w:line="360" w:lineRule="auto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.4.2 仪器示值不确定度</w:t>
      </w:r>
      <m:oMath>
        <m:r>
          <m:rPr/>
          <w:rPr>
            <w:rFonts w:ascii="Cambria Math"/>
            <w:lang w:val="zh-CN"/>
          </w:rPr>
          <m:t>u</m:t>
        </m:r>
        <m:d>
          <m:dPr>
            <m:ctrlPr>
              <w:rPr>
                <w:rFonts w:ascii="Cambria Math" w:hAnsi="Cambria Math"/>
                <w:i/>
                <w:lang w:val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zh-CN"/>
                  </w:rPr>
                </m:ctrlPr>
              </m:sSubPr>
              <m:e>
                <m:acc>
                  <m:accPr>
                    <m:chr m:val="̄"/>
                    <m:ctrlPr>
                      <w:rPr>
                        <w:rFonts w:ascii="Cambria Math" w:hAnsi="Cambria Math"/>
                        <w:i/>
                        <w:lang w:val="zh-CN"/>
                      </w:rPr>
                    </m:ctrlPr>
                  </m:accPr>
                  <m:e>
                    <m:r>
                      <m:rPr/>
                      <w:rPr>
                        <w:rFonts w:ascii="Cambria Math"/>
                        <w:lang w:val="zh-CN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val="zh-CN"/>
                      </w:rPr>
                    </m:ctrlPr>
                  </m:e>
                </m:acc>
                <m:ctrlPr>
                  <w:rPr>
                    <w:rFonts w:ascii="Cambria Math" w:hAnsi="Cambria Math"/>
                    <w:i/>
                    <w:lang w:val="zh-CN"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/>
                    <w:lang w:val="zh-CN"/>
                  </w:rPr>
                </m:ctrlPr>
              </m:sub>
            </m:sSub>
            <m:ctrlPr>
              <w:rPr>
                <w:rFonts w:ascii="Cambria Math" w:hAnsi="Cambria Math"/>
                <w:i/>
                <w:lang w:val="zh-CN"/>
              </w:rPr>
            </m:ctrlPr>
          </m:e>
        </m:d>
      </m:oMath>
    </w:p>
    <w:p w14:paraId="6D112243">
      <w:pPr>
        <w:pStyle w:val="23"/>
        <w:spacing w:line="360" w:lineRule="auto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.4.2.1 重复性引入不确定度分量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</w:p>
    <w:p w14:paraId="064DB101">
      <w:pPr>
        <w:pStyle w:val="23"/>
        <w:spacing w:line="360" w:lineRule="auto"/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对标准物质重复测量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次，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测量结果分别为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1.0 ℃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2.0 ℃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0.0 </w:t>
      </w:r>
      <w:bookmarkStart w:id="67" w:name="OLE_LINK23"/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℃</w:t>
      </w:r>
      <w:bookmarkEnd w:id="67"/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，用极差法计算重复性引入的不确定度分量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，按下式计算：</w:t>
      </w:r>
    </w:p>
    <w:p w14:paraId="07424CCC">
      <w:pPr>
        <w:pStyle w:val="23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sSubPr>
            <m:e>
              <m:r>
                <m:rPr/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  <m:t>u</m:t>
              </m: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  <m:t xml:space="preserve">2 </m:t>
              </m: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sub>
          </m:sSub>
          <m:r>
            <m:rPr/>
            <w:rPr>
              <w:rFonts w:ascii="Cambria Math" w:hAnsi="Cambria Math" w:cs="Times New Roman"/>
              <w:color w:val="000000" w:themeColor="text1"/>
              <w:sz w:val="24"/>
              <w:szCs w:val="24"/>
              <w14:textFill>
                <w14:solidFill>
                  <w14:schemeClr w14:val="tx1"/>
                </w14:solidFill>
              </w14:textFill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  <m:t>0.0</m:t>
                  </m: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m:t>−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>
                    <m:rPr/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  <m:t>−2.0</m:t>
                  </m: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</m:ctrlPr>
            </m:num>
            <m:den>
              <m:r>
                <m:rPr/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m:t>1.69×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radPr>
                <m:deg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eg>
                <m:e>
                  <m:r>
                    <m:rPr/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  <m:t>3</m:t>
                  </m: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  <w:vertAlign w:val="subscript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rad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</m:ctrlP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  <w14:textFill>
                <w14:solidFill>
                  <w14:schemeClr w14:val="tx1"/>
                </w14:solidFill>
              </w14:textFill>
            </w:rPr>
            <m:t>=0.68 ℃</m:t>
          </m:r>
        </m:oMath>
      </m:oMathPara>
    </w:p>
    <w:p w14:paraId="7810C4FF">
      <w:pPr>
        <w:pStyle w:val="23"/>
        <w:spacing w:line="360" w:lineRule="auto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.4.2.2 数据修约引入的不确定度分量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</w:p>
    <w:p w14:paraId="0EE31274">
      <w:pPr>
        <w:spacing w:line="360" w:lineRule="auto"/>
        <w:ind w:firstLine="480"/>
        <w:textAlignment w:val="center"/>
        <w:rPr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G</w:t>
      </w:r>
      <w:r>
        <w:rPr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B/T510</w:t>
      </w:r>
      <w:r>
        <w:rPr>
          <w:rFonts w:hint="eastAsia"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中要求，手动凝点测定仪报告试样的凝点，结果需精确至1</w:t>
      </w:r>
      <w:r>
        <w:rPr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rFonts w:hint="eastAsia"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，假设其为均匀分布，则数据修约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引入的不确定度分量按下式计算：</w:t>
      </w:r>
    </w:p>
    <w:p w14:paraId="7AF3E5BC">
      <w:pPr>
        <w:spacing w:line="360" w:lineRule="auto"/>
        <w:ind w:firstLine="480"/>
        <w:jc w:val="center"/>
        <w:textAlignment w:val="center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68" w:name="OLE_LINK2"/>
      <w:bookmarkStart w:id="69" w:name="OLE_LINK1"/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u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  <w:bookmarkEnd w:id="68"/>
            <w:bookmarkEnd w:id="69"/>
          </m:sub>
        </m:sSub>
        <m:r>
          <m:rPr/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:t>2×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/>
                  <w:rPr>
                    <w:rFonts w:ascii="Cambria Math"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/>
          <w:rPr>
            <w:rFonts w:ascii="Cambria Math" w:hAnsi="Cambria Math"/>
            <w:color w:val="000000" w:themeColor="text1"/>
            <w:sz w:val="24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0.29 ℃</w:t>
      </w:r>
    </w:p>
    <w:p w14:paraId="0ADD2065">
      <w:pPr>
        <w:pStyle w:val="23"/>
        <w:spacing w:line="360" w:lineRule="auto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.4.2.</w:t>
      </w: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冷浴槽温度示值</w:t>
      </w: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误差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引入的不确定度分量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</w:p>
    <w:p w14:paraId="62023CA3">
      <w:pPr>
        <w:spacing w:line="360" w:lineRule="auto"/>
        <w:ind w:firstLine="480"/>
        <w:textAlignment w:val="center"/>
        <w:rPr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根据附录C，冷浴槽温度示值误差引入的扩展不确定为0</w:t>
      </w:r>
      <w:r>
        <w:rPr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.68 </w:t>
      </w:r>
      <w:r>
        <w:rPr>
          <w:rFonts w:hint="eastAsia"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℃（</w:t>
      </w:r>
      <w:r>
        <w:rPr>
          <w:rFonts w:hint="eastAsia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k</w:t>
      </w:r>
      <w:r>
        <w:rPr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=2</w:t>
      </w:r>
      <w:r>
        <w:rPr>
          <w:rFonts w:hint="eastAsia"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），则：</w:t>
      </w:r>
    </w:p>
    <w:p w14:paraId="2F23820B">
      <w:pPr>
        <w:spacing w:line="360" w:lineRule="auto"/>
        <w:jc w:val="center"/>
        <w:textAlignment w:val="center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u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w:bookmarkStart w:id="70" w:name="OLE_LINK9"/>
        <w:bookmarkStart w:id="71" w:name="OLE_LINK8"/>
        <m:r>
          <m:rPr/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0.68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</w:t>
      </w: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0.34 ℃</w:t>
      </w:r>
    </w:p>
    <w:p w14:paraId="5F9776CA">
      <w:pPr>
        <w:pStyle w:val="23"/>
        <w:spacing w:line="360" w:lineRule="auto"/>
        <w:rPr>
          <w:rFonts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.4.2.</w:t>
      </w: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温度计引入的不确定度分量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5</w:t>
      </w:r>
    </w:p>
    <w:p w14:paraId="1712D58D">
      <w:pPr>
        <w:snapToGrid w:val="0"/>
        <w:spacing w:line="360" w:lineRule="auto"/>
        <w:ind w:firstLine="480" w:firstLineChars="200"/>
        <w:textAlignment w:val="center"/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根据JJG 130-2011《工作用玻璃液体温度计》中的要求，GB-31号温度计在（-50~0）</w:t>
      </w:r>
      <w:r>
        <w:rPr>
          <w:rFonts w:hint="eastAsia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℃范围内的最大允许误差为±2.0 ℃，假设其为均匀分布，则温度计引入的不确定度分量按下式计算：</w:t>
      </w:r>
    </w:p>
    <w:p w14:paraId="48973A6B">
      <w:pPr>
        <w:spacing w:line="360" w:lineRule="auto"/>
        <w:jc w:val="center"/>
        <w:textAlignment w:val="center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u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/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</w:t>
      </w: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1.2 </w:t>
      </w:r>
      <w:r>
        <w:rPr>
          <w:rFonts w:eastAsia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℃</w:t>
      </w:r>
    </w:p>
    <w:p w14:paraId="5638C53D">
      <w:pPr>
        <w:pStyle w:val="23"/>
        <w:spacing w:line="360" w:lineRule="auto"/>
        <w:rPr>
          <w:rFonts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.4.2.</w:t>
      </w: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电子秒表</w:t>
      </w: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引入的不确定度分量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6</w:t>
      </w:r>
    </w:p>
    <w:p w14:paraId="379FBDB4">
      <w:pPr>
        <w:snapToGrid w:val="0"/>
        <w:spacing w:line="360" w:lineRule="auto"/>
        <w:ind w:firstLine="480" w:firstLineChars="200"/>
        <w:textAlignment w:val="center"/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</w:t>
      </w:r>
      <w:r>
        <w:rPr>
          <w:rFonts w:hint="eastAsia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JJ</w:t>
      </w:r>
      <w:r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F </w:t>
      </w:r>
      <w:r>
        <w:rPr>
          <w:rFonts w:hint="eastAsia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2195</w:t>
      </w:r>
      <w:r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-2025</w:t>
      </w:r>
      <w:r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</w:t>
      </w:r>
      <w:r>
        <w:rPr>
          <w:rFonts w:hint="eastAsia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秒表校准规范</w:t>
      </w:r>
      <w:r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》中的要求，</w:t>
      </w:r>
      <w:r>
        <w:rPr>
          <w:rFonts w:hint="eastAsia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电子秒表的</w:t>
      </w:r>
      <w:r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的最大允许误差为±0.07 </w:t>
      </w:r>
      <w:r>
        <w:rPr>
          <w:rFonts w:hint="eastAsia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</w:t>
      </w:r>
      <w:r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/10 </w:t>
      </w:r>
      <w:r>
        <w:rPr>
          <w:rFonts w:hint="eastAsia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min</w:t>
      </w:r>
      <w:r>
        <w:rPr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，假设其为均匀分布，则温度计引入的不确定度分量按下式计算：</w:t>
      </w:r>
    </w:p>
    <w:p w14:paraId="676C1FB5">
      <w:pPr>
        <w:spacing w:line="360" w:lineRule="auto"/>
        <w:jc w:val="center"/>
        <w:textAlignment w:val="center"/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u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0.07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m:rPr/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</w:t>
      </w:r>
      <w:r>
        <w:rPr>
          <w:rFonts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0.04 </w:t>
      </w:r>
      <w:r>
        <w:rPr>
          <w:rFonts w:hint="eastAsia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</w:t>
      </w:r>
    </w:p>
    <w:bookmarkEnd w:id="70"/>
    <w:bookmarkEnd w:id="71"/>
    <w:p w14:paraId="58D7C3EA">
      <w:pPr>
        <w:pStyle w:val="23"/>
        <w:spacing w:line="360" w:lineRule="auto"/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72" w:name="OLE_LINK19"/>
      <w:bookmarkStart w:id="73" w:name="OLE_LINK20"/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.5 合成标准不确定度</w:t>
      </w:r>
    </w:p>
    <w:p w14:paraId="4E8367FD">
      <w:pPr>
        <w:pStyle w:val="23"/>
        <w:spacing w:line="360" w:lineRule="auto"/>
        <w:ind w:firstLine="48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由式计算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合成标准不确定度</w:t>
      </w:r>
      <w:r>
        <w:rPr>
          <w:i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u</w:t>
      </w:r>
      <w:r>
        <w:rPr>
          <w:color w:val="000000" w:themeColor="text1"/>
          <w:kern w:val="0"/>
          <w:sz w:val="24"/>
          <w:vertAlign w:val="subscript"/>
          <w:lang w:val="zh-CN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 w14:paraId="4700F9BD">
      <w:pPr>
        <w:pStyle w:val="23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hint="eastAsia"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u</m:t>
            </m: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sSubSup>
              <m:sSub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m:r>
              <m:rPr/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m:r>
              <m:rPr/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w:bookmarkStart w:id="74" w:name="OLE_LINK21"/>
            <w:bookmarkStart w:id="75" w:name="OLE_LINK22"/>
            <m:r>
              <m:rPr/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4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  <w:bookmarkEnd w:id="74"/>
                <w:bookmarkEnd w:id="75"/>
              </m:sup>
            </m:sSubSup>
            <m:r>
              <m:rPr/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5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m:r>
              <m:rPr/>
              <w:rPr>
                <w:rFonts w:ascii="Cambria Math" w:hAnsi="Cambria Math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6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m:rPr/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2.0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℃</w:t>
      </w:r>
    </w:p>
    <w:p w14:paraId="2E28BDC6">
      <w:pPr>
        <w:pStyle w:val="23"/>
        <w:spacing w:line="36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.6 扩展不确定度</w:t>
      </w:r>
    </w:p>
    <w:p w14:paraId="63D8C35A">
      <w:pPr>
        <w:snapToGrid w:val="0"/>
        <w:spacing w:line="360" w:lineRule="auto"/>
        <w:ind w:firstLine="480" w:firstLine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取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包含因子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k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=2，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凝点示值误差测量结果的扩展不确定度为：</w:t>
      </w:r>
    </w:p>
    <w:p w14:paraId="048CC7B0">
      <w:pPr>
        <w:pStyle w:val="23"/>
        <w:spacing w:line="360" w:lineRule="auto"/>
        <w:jc w:val="center"/>
        <w:rPr>
          <w:rFonts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m:oMath>
        <m:r>
          <m:rPr/>
          <w:rPr>
            <w:rFonts w:ascii="Cambria Math" w:hAnsi="Times New Roman" w:cs="Times New Roman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U=k</m:t>
        </m:r>
        <m:r>
          <m:rPr/>
          <w:rPr>
            <w:rFonts w:ascii="Cambria Math" w:hAnsi="Cambria Math" w:cs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⋅</m:t>
        </m:r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u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c</m:t>
            </m: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=2×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1.6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4.0 </w:t>
      </w: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℃</w:t>
      </w:r>
      <w:bookmarkEnd w:id="72"/>
      <w:bookmarkEnd w:id="73"/>
    </w:p>
    <w:p w14:paraId="7BB41372">
      <w:pPr>
        <w:pStyle w:val="22"/>
        <w:tabs>
          <w:tab w:val="left" w:pos="425"/>
        </w:tabs>
        <w:adjustRightInd w:val="0"/>
        <w:spacing w:before="120" w:after="120" w:line="300" w:lineRule="auto"/>
        <w:ind w:left="0" w:right="221" w:firstLine="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2136140</wp:posOffset>
                </wp:positionH>
                <wp:positionV relativeFrom="paragraph">
                  <wp:posOffset>258445</wp:posOffset>
                </wp:positionV>
                <wp:extent cx="1800225" cy="635"/>
                <wp:effectExtent l="0" t="0" r="0" b="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248660" y="9593580"/>
                          <a:ext cx="1800225" cy="63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68.2pt;margin-top:20.35pt;height:0.05pt;width:141.75pt;z-index:251674624;mso-width-relative:page;mso-height-relative:page;" filled="f" stroked="t" coordsize="21600,21600" o:gfxdata="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HAwcs2AAAAAkBAAAPAAAAAAAAAAEAIAAAACIAAABkcnMvZG93bnJldi54bWxQSwECFAAUAAAA&#10;CACHTuJA78rThe4BAAC0AwAADgAAAAAAAAABACAAAAAnAQAAZHJzL2Uyb0RvYy54bWxQSwUGAAAA&#10;AAYABgBZAQAAhw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</w:p>
    <w:p w14:paraId="0D798EBA">
      <w:pPr>
        <w:pStyle w:val="22"/>
        <w:tabs>
          <w:tab w:val="left" w:pos="425"/>
        </w:tabs>
        <w:adjustRightInd w:val="0"/>
        <w:spacing w:before="120" w:after="120" w:line="300" w:lineRule="auto"/>
        <w:ind w:left="0" w:right="221" w:firstLine="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ectPr>
          <w:pgSz w:w="11906" w:h="16838"/>
          <w:pgMar w:top="1871" w:right="1418" w:bottom="1418" w:left="1418" w:header="1418" w:footer="1077" w:gutter="0"/>
          <w:cols w:space="720" w:num="1"/>
          <w:docGrid w:linePitch="312" w:charSpace="0"/>
        </w:sectPr>
      </w:pPr>
    </w:p>
    <w:p w14:paraId="078F990D">
      <w:pPr>
        <w:adjustRightInd/>
        <w:spacing w:line="324" w:lineRule="auto"/>
        <w:jc w:val="center"/>
        <w:rPr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bookmarkStart w:id="77" w:name="_GoBack"/>
      <w:bookmarkEnd w:id="77"/>
    </w:p>
    <w:sectPr>
      <w:headerReference r:id="rId17" w:type="default"/>
      <w:footerReference r:id="rId18" w:type="default"/>
      <w:pgSz w:w="11906" w:h="16838"/>
      <w:pgMar w:top="1871" w:right="1134" w:bottom="1417" w:left="1417" w:header="1417" w:footer="1077" w:gutter="0"/>
      <w:pgNumType w:start="1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-Bold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15AF8">
    <w:pPr>
      <w:pStyle w:val="137"/>
      <w:ind w:right="360" w:firstLine="360"/>
      <w:rPr>
        <w:rStyle w:val="6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C3F15">
    <w:pPr>
      <w:pStyle w:val="27"/>
      <w:framePr w:wrap="around" w:vAnchor="text" w:hAnchor="margin" w:xAlign="outside" w:y="1"/>
      <w:rPr>
        <w:rStyle w:val="60"/>
      </w:rPr>
    </w:pPr>
    <w:r>
      <w:fldChar w:fldCharType="begin"/>
    </w:r>
    <w:r>
      <w:rPr>
        <w:rStyle w:val="60"/>
      </w:rPr>
      <w:instrText xml:space="preserve">PAGE  </w:instrText>
    </w:r>
    <w:r>
      <w:fldChar w:fldCharType="separate"/>
    </w:r>
    <w:r>
      <w:rPr>
        <w:rStyle w:val="60"/>
      </w:rPr>
      <w:t>2</w:t>
    </w:r>
    <w:r>
      <w:fldChar w:fldCharType="end"/>
    </w:r>
  </w:p>
  <w:p w14:paraId="033569B0">
    <w:pPr>
      <w:pStyle w:val="2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0BC4F">
    <w:pPr>
      <w:pStyle w:val="2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9A79">
    <w:pPr>
      <w:pStyle w:val="27"/>
      <w:spacing w:after="72"/>
    </w:pPr>
    <w:r>
      <w:rPr>
        <w:rFonts w:ascii="Times New Roman"/>
      </w:rPr>
      <w:fldChar w:fldCharType="begin"/>
    </w:r>
    <w:r>
      <w:rPr>
        <w:rFonts w:ascii="Times New Roman"/>
      </w:rPr>
      <w:instrText xml:space="preserve"> PAGE   \* MERGEFORMAT </w:instrText>
    </w:r>
    <w:r>
      <w:rPr>
        <w:rFonts w:ascii="Times New Roman"/>
      </w:rPr>
      <w:fldChar w:fldCharType="separate"/>
    </w:r>
    <w:r>
      <w:rPr>
        <w:rFonts w:ascii="Times New Roman"/>
        <w:lang w:val="zh-CN"/>
      </w:rPr>
      <w:t>II</w:t>
    </w:r>
    <w:r>
      <w:rPr>
        <w:rFonts w:ascii="Times New Roman"/>
      </w:rPr>
      <w:fldChar w:fldCharType="end"/>
    </w:r>
  </w:p>
  <w:p w14:paraId="4CDC964A">
    <w:pPr>
      <w:pStyle w:val="137"/>
      <w:ind w:right="360" w:firstLine="360"/>
      <w:rPr>
        <w:rStyle w:val="6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08E66">
    <w:pPr>
      <w:pStyle w:val="27"/>
      <w:spacing w:after="72"/>
      <w:ind w:left="678" w:right="-105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fldChar w:fldCharType="end"/>
    </w:r>
  </w:p>
  <w:p w14:paraId="7DEBF2E9">
    <w:pPr>
      <w:pStyle w:val="137"/>
      <w:ind w:right="360" w:firstLine="360"/>
      <w:rPr>
        <w:rStyle w:val="6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3A867">
    <w:pPr>
      <w:pStyle w:val="137"/>
      <w:ind w:right="360" w:firstLine="360"/>
      <w:rPr>
        <w:rStyle w:val="6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C78C">
    <w:pPr>
      <w:pStyle w:val="85"/>
    </w:pPr>
    <w:r>
      <w:t>GJB</w:t>
    </w:r>
    <w:r>
      <w:rPr>
        <w:rFonts w:hint="eastAsia"/>
      </w:rPr>
      <w:t>/J</w:t>
    </w:r>
    <w:r>
      <w:t xml:space="preserve"> ××××—××××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A5A42A">
    <w:pPr>
      <w:pStyle w:val="84"/>
      <w:tabs>
        <w:tab w:val="clear" w:pos="4154"/>
        <w:tab w:val="clear" w:pos="8306"/>
      </w:tabs>
    </w:pPr>
    <w:r>
      <w:t>GJB ××××—××××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C653B">
    <w:pPr>
      <w:pStyle w:val="28"/>
      <w:spacing w:line="288" w:lineRule="auto"/>
      <w:jc w:val="both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137160</wp:posOffset>
              </wp:positionV>
              <wp:extent cx="5895975" cy="6985"/>
              <wp:effectExtent l="0" t="4445" r="9525" b="7620"/>
              <wp:wrapNone/>
              <wp:docPr id="22" name="自选图形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95975" cy="6985"/>
                      </a:xfrm>
                      <a:prstGeom prst="straightConnector1">
                        <a:avLst/>
                      </a:prstGeom>
                      <a:ln w="6350" cap="flat" cmpd="sng">
                        <a:solidFill>
                          <a:srgbClr val="739CC3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自选图形 1029" o:spid="_x0000_s1026" o:spt="32" type="#_x0000_t32" style="position:absolute;left:0pt;flip:y;margin-left:2.2pt;margin-top:10.8pt;height:0.55pt;width:464.25pt;z-index:251663360;mso-width-relative:page;mso-height-relative:page;" filled="f" stroked="t" coordsize="21600,21600" o:gfxdata="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Mn6HnWAAAABwEAAA8AAAAAAAAAAQAgAAAAIgAAAGRycy9k&#10;b3ducmV2LnhtbFBLAQIUABQAAAAIAIdO4kCP25qhBAIAAPQDAAAOAAAAAAAAAAEAIAAAACUBAABk&#10;cnMvZTJvRG9jLnhtbFBLBQYAAAAABgAGAFkBAACbBQAAAAA=&#10;">
              <v:fill on="f" focussize="0,0"/>
              <v:stroke weight="0.5pt" color="#739CC3" joinstyle="round"/>
              <v:imagedata o:title=""/>
              <o:lock v:ext="edit" aspectratio="f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1" layoutInCell="1" allowOverlap="0">
              <wp:simplePos x="0" y="0"/>
              <wp:positionH relativeFrom="page">
                <wp:posOffset>2807335</wp:posOffset>
              </wp:positionH>
              <wp:positionV relativeFrom="page">
                <wp:posOffset>627380</wp:posOffset>
              </wp:positionV>
              <wp:extent cx="2249805" cy="288290"/>
              <wp:effectExtent l="0" t="0" r="0" b="0"/>
              <wp:wrapNone/>
              <wp:docPr id="21" name="_x0000_s716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4980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411F8C">
                          <w:pPr>
                            <w:jc w:val="center"/>
                            <w:rPr>
                              <w:rFonts w:ascii="黑体" w:hAnsi="黑体" w:eastAsia="黑体" w:cs="黑体"/>
                              <w:szCs w:val="21"/>
                            </w:rPr>
                          </w:pPr>
                          <w:r>
                            <w:rPr>
                              <w:rStyle w:val="53"/>
                              <w:rFonts w:hint="eastAsia" w:ascii="黑体" w:hAnsi="黑体" w:eastAsia="黑体" w:cs="黑体"/>
                              <w:szCs w:val="21"/>
                            </w:rPr>
                            <w:t>JJF  XXXX—XXXX</w:t>
                          </w:r>
                        </w:p>
                      </w:txbxContent>
                    </wps:txbx>
                    <wps:bodyPr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_x0000_s71682" o:spid="_x0000_s1026" o:spt="202" type="#_x0000_t202" style="position:absolute;left:0pt;margin-left:221.05pt;margin-top:49.4pt;height:22.7pt;width:177.15pt;mso-position-horizontal-relative:page;mso-position-vertical-relative:page;z-index:251662336;v-text-anchor:middle;mso-width-relative:page;mso-height-relative:page;" filled="f" stroked="f" coordsize="21600,21600" o:allowoverlap="f" o:gfxdata="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zGP5O2AAAAAoBAAAPAAAAAAAAAAEAIAAAACIAAABkcnMvZG93bnJldi54bWxQSwEC&#10;FAAUAAAACACHTuJAV/nZjLsBAAB6AwAADgAAAAAAAAABACAAAAAnAQAAZHJzL2Uyb0RvYy54bWxQ&#10;SwUGAAAAAAYABgBZAQAAVAUAAAAA&#10;">
              <v:fill on="f" focussize="0,0"/>
              <v:stroke on="f"/>
              <v:imagedata o:title=""/>
              <o:lock v:ext="edit" aspectratio="f"/>
              <v:textbox>
                <w:txbxContent>
                  <w:p w14:paraId="48411F8C">
                    <w:pPr>
                      <w:jc w:val="center"/>
                      <w:rPr>
                        <w:rFonts w:ascii="黑体" w:hAnsi="黑体" w:eastAsia="黑体" w:cs="黑体"/>
                        <w:szCs w:val="21"/>
                      </w:rPr>
                    </w:pPr>
                    <w:r>
                      <w:rPr>
                        <w:rStyle w:val="53"/>
                        <w:rFonts w:hint="eastAsia" w:ascii="黑体" w:hAnsi="黑体" w:eastAsia="黑体" w:cs="黑体"/>
                        <w:szCs w:val="21"/>
                      </w:rPr>
                      <w:t>JJF  XXXX—XXXX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7F4E6">
    <w:pPr>
      <w:pStyle w:val="28"/>
      <w:spacing w:line="288" w:lineRule="aut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3F6D6">
    <w:pPr>
      <w:pStyle w:val="28"/>
      <w:pBdr>
        <w:bottom w:val="single" w:color="auto" w:sz="4" w:space="1"/>
      </w:pBdr>
      <w:spacing w:line="288" w:lineRule="auto"/>
    </w:pPr>
    <w:r>
      <w:rPr>
        <w:rStyle w:val="53"/>
        <w:rFonts w:eastAsia="宋体"/>
      </w:rPr>
      <mc:AlternateContent>
        <mc:Choice Requires="wps">
          <w:drawing>
            <wp:anchor distT="0" distB="0" distL="114300" distR="114300" simplePos="0" relativeHeight="251659264" behindDoc="0" locked="1" layoutInCell="1" allowOverlap="0">
              <wp:simplePos x="0" y="0"/>
              <wp:positionH relativeFrom="page">
                <wp:align>center</wp:align>
              </wp:positionH>
              <wp:positionV relativeFrom="page">
                <wp:posOffset>756285</wp:posOffset>
              </wp:positionV>
              <wp:extent cx="2258060" cy="288290"/>
              <wp:effectExtent l="0" t="0" r="0" b="0"/>
              <wp:wrapNone/>
              <wp:docPr id="18" name="_x0000_s716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8060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13E3E0">
                          <w:pPr>
                            <w:jc w:val="center"/>
                          </w:pPr>
                          <w:r>
                            <w:rPr>
                              <w:rStyle w:val="53"/>
                              <w:rFonts w:hint="eastAsia" w:eastAsia="宋体"/>
                            </w:rPr>
                            <w:t>JJF</w:t>
                          </w:r>
                          <w:r>
                            <w:rPr>
                              <w:rStyle w:val="53"/>
                              <w:rFonts w:hint="eastAsia" w:eastAsia="宋体"/>
                              <w:sz w:val="10"/>
                              <w:szCs w:val="10"/>
                            </w:rPr>
                            <w:t xml:space="preserve"> </w:t>
                          </w:r>
                          <w:r>
                            <w:rPr>
                              <w:rStyle w:val="53"/>
                              <w:rFonts w:hint="eastAsia" w:ascii="黑体" w:eastAsia="黑体"/>
                              <w:b w:val="0"/>
                            </w:rPr>
                            <w:t>(</w:t>
                          </w:r>
                          <w:r>
                            <w:rPr>
                              <w:rStyle w:val="53"/>
                              <w:rFonts w:hint="eastAsia" w:ascii="黑体" w:hAnsi="华文中宋" w:eastAsia="黑体"/>
                              <w:b w:val="0"/>
                            </w:rPr>
                            <w:t>军工</w:t>
                          </w:r>
                          <w:r>
                            <w:rPr>
                              <w:rStyle w:val="53"/>
                              <w:rFonts w:hint="eastAsia" w:ascii="黑体" w:eastAsia="黑体"/>
                              <w:b w:val="0"/>
                            </w:rPr>
                            <w:t>)</w:t>
                          </w:r>
                          <w:r>
                            <w:rPr>
                              <w:rStyle w:val="53"/>
                              <w:rFonts w:hint="eastAsia" w:eastAsia="宋体"/>
                            </w:rPr>
                            <w:t xml:space="preserve"> ××××</w:t>
                          </w:r>
                          <w:r>
                            <w:rPr>
                              <w:rStyle w:val="53"/>
                              <w:rFonts w:ascii="宋体" w:hAnsi="宋体" w:eastAsia="宋体"/>
                            </w:rPr>
                            <w:t>—</w:t>
                          </w:r>
                          <w:r>
                            <w:rPr>
                              <w:rStyle w:val="53"/>
                              <w:rFonts w:hint="eastAsia" w:eastAsia="宋体"/>
                            </w:rPr>
                            <w:t>××××</w:t>
                          </w:r>
                        </w:p>
                      </w:txbxContent>
                    </wps:txbx>
                    <wps:bodyPr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_x0000_s71681" o:spid="_x0000_s1026" o:spt="202" type="#_x0000_t202" style="position:absolute;left:0pt;margin-top:59.55pt;height:22.7pt;width:177.8pt;mso-position-horizontal:center;mso-position-horizontal-relative:page;mso-position-vertical-relative:page;z-index:251659264;v-text-anchor:middle;mso-width-relative:page;mso-height-relative:page;" filled="f" stroked="f" coordsize="21600,21600" o:allowoverlap="f" o:gfxdata="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im52a1wAAAAgBAAAPAAAAAAAAAAEAIAAAACIAAABkcnMvZG93bnJldi54bWxQSwECFAAU&#10;AAAACACHTuJAvFmvsbkBAAB6AwAADgAAAAAAAAABACAAAAAmAQAAZHJzL2Uyb0RvYy54bWxQSwUG&#10;AAAAAAYABgBZAQAAUQUAAAAA&#10;">
              <v:fill on="f" focussize="0,0"/>
              <v:stroke on="f"/>
              <v:imagedata o:title=""/>
              <o:lock v:ext="edit" aspectratio="f"/>
              <v:textbox>
                <w:txbxContent>
                  <w:p w14:paraId="2613E3E0">
                    <w:pPr>
                      <w:jc w:val="center"/>
                    </w:pPr>
                    <w:r>
                      <w:rPr>
                        <w:rStyle w:val="53"/>
                        <w:rFonts w:hint="eastAsia" w:eastAsia="宋体"/>
                      </w:rPr>
                      <w:t>JJF</w:t>
                    </w:r>
                    <w:r>
                      <w:rPr>
                        <w:rStyle w:val="53"/>
                        <w:rFonts w:hint="eastAsia" w:eastAsia="宋体"/>
                        <w:sz w:val="10"/>
                        <w:szCs w:val="10"/>
                      </w:rPr>
                      <w:t xml:space="preserve"> </w:t>
                    </w:r>
                    <w:r>
                      <w:rPr>
                        <w:rStyle w:val="53"/>
                        <w:rFonts w:hint="eastAsia" w:ascii="黑体" w:eastAsia="黑体"/>
                        <w:b w:val="0"/>
                      </w:rPr>
                      <w:t>(</w:t>
                    </w:r>
                    <w:r>
                      <w:rPr>
                        <w:rStyle w:val="53"/>
                        <w:rFonts w:hint="eastAsia" w:ascii="黑体" w:hAnsi="华文中宋" w:eastAsia="黑体"/>
                        <w:b w:val="0"/>
                      </w:rPr>
                      <w:t>军工</w:t>
                    </w:r>
                    <w:r>
                      <w:rPr>
                        <w:rStyle w:val="53"/>
                        <w:rFonts w:hint="eastAsia" w:ascii="黑体" w:eastAsia="黑体"/>
                        <w:b w:val="0"/>
                      </w:rPr>
                      <w:t>)</w:t>
                    </w:r>
                    <w:r>
                      <w:rPr>
                        <w:rStyle w:val="53"/>
                        <w:rFonts w:hint="eastAsia" w:eastAsia="宋体"/>
                      </w:rPr>
                      <w:t xml:space="preserve"> ××××</w:t>
                    </w:r>
                    <w:r>
                      <w:rPr>
                        <w:rStyle w:val="53"/>
                        <w:rFonts w:ascii="宋体" w:hAnsi="宋体" w:eastAsia="宋体"/>
                      </w:rPr>
                      <w:t>—</w:t>
                    </w:r>
                    <w:r>
                      <w:rPr>
                        <w:rStyle w:val="53"/>
                        <w:rFonts w:hint="eastAsia" w:eastAsia="宋体"/>
                      </w:rPr>
                      <w:t>××××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F4ACB">
    <w:pPr>
      <w:pStyle w:val="28"/>
      <w:pBdr>
        <w:bottom w:val="single" w:color="auto" w:sz="4" w:space="1"/>
      </w:pBdr>
      <w:spacing w:line="288" w:lineRule="auto"/>
    </w:pPr>
    <w:r>
      <mc:AlternateContent>
        <mc:Choice Requires="wps">
          <w:drawing>
            <wp:anchor distT="0" distB="0" distL="114300" distR="114300" simplePos="0" relativeHeight="251660288" behindDoc="0" locked="1" layoutInCell="1" allowOverlap="0">
              <wp:simplePos x="0" y="0"/>
              <wp:positionH relativeFrom="page">
                <wp:align>center</wp:align>
              </wp:positionH>
              <wp:positionV relativeFrom="page">
                <wp:posOffset>756285</wp:posOffset>
              </wp:positionV>
              <wp:extent cx="2249805" cy="288290"/>
              <wp:effectExtent l="0" t="0" r="0" b="0"/>
              <wp:wrapNone/>
              <wp:docPr id="19" name="_x0000_s716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4980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2C5D7">
                          <w:pPr>
                            <w:jc w:val="center"/>
                          </w:pPr>
                          <w:r>
                            <w:rPr>
                              <w:rStyle w:val="53"/>
                              <w:rFonts w:hint="eastAsia" w:eastAsia="宋体"/>
                            </w:rPr>
                            <w:t>JJF</w:t>
                          </w:r>
                          <w:r>
                            <w:rPr>
                              <w:rStyle w:val="53"/>
                              <w:rFonts w:hint="eastAsia" w:eastAsia="宋体"/>
                              <w:sz w:val="10"/>
                              <w:szCs w:val="10"/>
                            </w:rPr>
                            <w:t xml:space="preserve"> </w:t>
                          </w:r>
                          <w:r>
                            <w:rPr>
                              <w:rStyle w:val="53"/>
                              <w:rFonts w:hint="eastAsia" w:eastAsia="宋体"/>
                            </w:rPr>
                            <w:t xml:space="preserve"> XXXX</w:t>
                          </w:r>
                          <w:r>
                            <w:rPr>
                              <w:rStyle w:val="53"/>
                              <w:rFonts w:ascii="宋体" w:hAnsi="宋体" w:eastAsia="宋体"/>
                            </w:rPr>
                            <w:t>—</w:t>
                          </w:r>
                          <w:r>
                            <w:rPr>
                              <w:rStyle w:val="53"/>
                              <w:rFonts w:hint="eastAsia" w:eastAsia="宋体"/>
                            </w:rPr>
                            <w:t>XXXX</w:t>
                          </w:r>
                        </w:p>
                      </w:txbxContent>
                    </wps:txbx>
                    <wps:bodyPr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_x0000_s71682" o:spid="_x0000_s1026" o:spt="202" type="#_x0000_t202" style="position:absolute;left:0pt;margin-top:59.55pt;height:22.7pt;width:177.15pt;mso-position-horizontal:center;mso-position-horizontal-relative:page;mso-position-vertical-relative:page;z-index:251660288;v-text-anchor:middle;mso-width-relative:page;mso-height-relative:page;" filled="f" stroked="f" coordsize="21600,21600" o:allowoverlap="f" o:gfxdata="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O9L+P7XAAAACAEAAA8AAAAAAAAAAQAgAAAAIgAAAGRycy9kb3ducmV2LnhtbFBLAQIU&#10;ABQAAAAIAIdO4kD5gftYuwEAAHoDAAAOAAAAAAAAAAEAIAAAACYBAABkcnMvZTJvRG9jLnhtbFBL&#10;BQYAAAAABgAGAFkBAABTBQAAAAA=&#10;">
              <v:fill on="f" focussize="0,0"/>
              <v:stroke on="f"/>
              <v:imagedata o:title=""/>
              <o:lock v:ext="edit" aspectratio="f"/>
              <v:textbox>
                <w:txbxContent>
                  <w:p w14:paraId="6F12C5D7">
                    <w:pPr>
                      <w:jc w:val="center"/>
                    </w:pPr>
                    <w:r>
                      <w:rPr>
                        <w:rStyle w:val="53"/>
                        <w:rFonts w:hint="eastAsia" w:eastAsia="宋体"/>
                      </w:rPr>
                      <w:t>JJF</w:t>
                    </w:r>
                    <w:r>
                      <w:rPr>
                        <w:rStyle w:val="53"/>
                        <w:rFonts w:hint="eastAsia" w:eastAsia="宋体"/>
                        <w:sz w:val="10"/>
                        <w:szCs w:val="10"/>
                      </w:rPr>
                      <w:t xml:space="preserve"> </w:t>
                    </w:r>
                    <w:r>
                      <w:rPr>
                        <w:rStyle w:val="53"/>
                        <w:rFonts w:hint="eastAsia" w:eastAsia="宋体"/>
                      </w:rPr>
                      <w:t xml:space="preserve"> XXXX</w:t>
                    </w:r>
                    <w:r>
                      <w:rPr>
                        <w:rStyle w:val="53"/>
                        <w:rFonts w:ascii="宋体" w:hAnsi="宋体" w:eastAsia="宋体"/>
                      </w:rPr>
                      <w:t>—</w:t>
                    </w:r>
                    <w:r>
                      <w:rPr>
                        <w:rStyle w:val="53"/>
                        <w:rFonts w:hint="eastAsia" w:eastAsia="宋体"/>
                      </w:rPr>
                      <w:t>XXXX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D57E4">
    <w:pPr>
      <w:pStyle w:val="28"/>
      <w:pBdr>
        <w:bottom w:val="single" w:color="auto" w:sz="4" w:space="1"/>
      </w:pBdr>
      <w:spacing w:line="288" w:lineRule="auto"/>
      <w:jc w:val="both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0">
              <wp:simplePos x="0" y="0"/>
              <wp:positionH relativeFrom="page">
                <wp:posOffset>1454785</wp:posOffset>
              </wp:positionH>
              <wp:positionV relativeFrom="page">
                <wp:posOffset>756285</wp:posOffset>
              </wp:positionV>
              <wp:extent cx="4705350" cy="288290"/>
              <wp:effectExtent l="0" t="0" r="0" b="0"/>
              <wp:wrapNone/>
              <wp:docPr id="20" name="_x0000_s716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0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E472C">
                          <w:pPr>
                            <w:jc w:val="center"/>
                            <w:rPr>
                              <w:rFonts w:ascii="黑体" w:hAnsi="黑体" w:eastAsia="黑体" w:cs="黑体"/>
                              <w:szCs w:val="21"/>
                            </w:rPr>
                          </w:pPr>
                          <w:r>
                            <w:rPr>
                              <w:rStyle w:val="53"/>
                              <w:rFonts w:hint="eastAsia" w:ascii="黑体" w:hAnsi="黑体" w:eastAsia="黑体" w:cs="黑体"/>
                              <w:szCs w:val="21"/>
                            </w:rPr>
                            <w:t>JJF XXXX—XXXX</w:t>
                          </w:r>
                        </w:p>
                        <w:p w14:paraId="084EF823">
                          <w:pPr>
                            <w:jc w:val="center"/>
                            <w:rPr>
                              <w:rStyle w:val="53"/>
                              <w:rFonts w:eastAsia="宋体"/>
                            </w:rPr>
                          </w:pPr>
                        </w:p>
                      </w:txbxContent>
                    </wps:txbx>
                    <wps:bodyPr vert="horz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_x0000_s71683" o:spid="_x0000_s1026" o:spt="202" type="#_x0000_t202" style="position:absolute;left:0pt;margin-left:114.55pt;margin-top:59.55pt;height:22.7pt;width:370.5pt;mso-position-horizontal-relative:page;mso-position-vertical-relative:page;z-index:251661312;v-text-anchor:middle;mso-width-relative:page;mso-height-relative:page;" filled="f" stroked="f" coordsize="21600,21600" o:allowoverlap="f" o:gfxdata="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zZGMDYAAAACwEAAA8AAAAAAAAAAQAgAAAAIgAAAGRycy9kb3ducmV2&#10;LnhtbFBLAQIUABQAAAAIAIdO4kDWdblIwwEAAIYDAAAOAAAAAAAAAAEAIAAAACcBAABkcnMvZTJv&#10;RG9jLnhtbFBLBQYAAAAABgAGAFkBAABcBQAAAAA=&#10;">
              <v:fill on="f" focussize="0,0"/>
              <v:stroke on="f"/>
              <v:imagedata o:title=""/>
              <o:lock v:ext="edit" aspectratio="f"/>
              <v:textbox>
                <w:txbxContent>
                  <w:p w14:paraId="45EE472C">
                    <w:pPr>
                      <w:jc w:val="center"/>
                      <w:rPr>
                        <w:rFonts w:ascii="黑体" w:hAnsi="黑体" w:eastAsia="黑体" w:cs="黑体"/>
                        <w:szCs w:val="21"/>
                      </w:rPr>
                    </w:pPr>
                    <w:r>
                      <w:rPr>
                        <w:rStyle w:val="53"/>
                        <w:rFonts w:hint="eastAsia" w:ascii="黑体" w:hAnsi="黑体" w:eastAsia="黑体" w:cs="黑体"/>
                        <w:szCs w:val="21"/>
                      </w:rPr>
                      <w:t>JJF XXXX—XXXX</w:t>
                    </w:r>
                  </w:p>
                  <w:p w14:paraId="084EF823">
                    <w:pPr>
                      <w:jc w:val="center"/>
                      <w:rPr>
                        <w:rStyle w:val="53"/>
                        <w:rFonts w:eastAsia="宋体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EEE09">
    <w:pPr>
      <w:pStyle w:val="2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1"/>
      <w:numFmt w:val="none"/>
      <w:pStyle w:val="163"/>
      <w:lvlText w:val="%1示例："/>
      <w:lvlJc w:val="left"/>
      <w:pPr>
        <w:tabs>
          <w:tab w:val="left" w:pos="1095"/>
        </w:tabs>
        <w:ind w:left="-505" w:firstLine="88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0000006"/>
    <w:multiLevelType w:val="multilevel"/>
    <w:tmpl w:val="00000006"/>
    <w:lvl w:ilvl="0" w:tentative="0">
      <w:start w:val="1"/>
      <w:numFmt w:val="none"/>
      <w:pStyle w:val="114"/>
      <w:suff w:val="nothing"/>
      <w:lvlText w:val="——"/>
      <w:lvlJc w:val="left"/>
      <w:pPr>
        <w:ind w:left="794" w:hanging="397"/>
      </w:pPr>
      <w:rPr>
        <w:rFonts w:hint="eastAsia" w:ascii="黑体" w:hAnsi="Times New Roman" w:eastAsia="黑体"/>
        <w:b w:val="0"/>
        <w:i w:val="0"/>
        <w:spacing w:val="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  <w:rPr>
        <w:rFonts w:hint="eastAsia"/>
      </w:rPr>
    </w:lvl>
  </w:abstractNum>
  <w:abstractNum w:abstractNumId="2">
    <w:nsid w:val="0000000E"/>
    <w:multiLevelType w:val="multilevel"/>
    <w:tmpl w:val="0000000E"/>
    <w:lvl w:ilvl="0" w:tentative="0">
      <w:start w:val="1"/>
      <w:numFmt w:val="decimal"/>
      <w:pStyle w:val="140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">
    <w:nsid w:val="0000000F"/>
    <w:multiLevelType w:val="multilevel"/>
    <w:tmpl w:val="0000000F"/>
    <w:lvl w:ilvl="0" w:tentative="0">
      <w:start w:val="1"/>
      <w:numFmt w:val="decimal"/>
      <w:pStyle w:val="158"/>
      <w:suff w:val="nothing"/>
      <w:lvlText w:val="图%1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00000010"/>
    <w:multiLevelType w:val="multilevel"/>
    <w:tmpl w:val="00000010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51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77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47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74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30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00000011"/>
    <w:multiLevelType w:val="multilevel"/>
    <w:tmpl w:val="00000011"/>
    <w:lvl w:ilvl="0" w:tentative="0">
      <w:start w:val="1"/>
      <w:numFmt w:val="none"/>
      <w:pStyle w:val="142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0000012"/>
    <w:multiLevelType w:val="multilevel"/>
    <w:tmpl w:val="00000012"/>
    <w:lvl w:ilvl="0" w:tentative="0">
      <w:start w:val="1"/>
      <w:numFmt w:val="none"/>
      <w:pStyle w:val="124"/>
      <w:lvlText w:val="%1注："/>
      <w:lvlJc w:val="left"/>
      <w:pPr>
        <w:tabs>
          <w:tab w:val="left" w:pos="1140"/>
        </w:tabs>
        <w:ind w:left="0" w:firstLine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00000013"/>
    <w:multiLevelType w:val="multilevel"/>
    <w:tmpl w:val="00000013"/>
    <w:lvl w:ilvl="0" w:tentative="0">
      <w:start w:val="1"/>
      <w:numFmt w:val="none"/>
      <w:pStyle w:val="125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8">
    <w:nsid w:val="00000014"/>
    <w:multiLevelType w:val="multilevel"/>
    <w:tmpl w:val="00000014"/>
    <w:lvl w:ilvl="0" w:tentative="0">
      <w:start w:val="1"/>
      <w:numFmt w:val="none"/>
      <w:pStyle w:val="92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94"/>
      <w:suff w:val="nothing"/>
      <w:lvlText w:val="%1%2　"/>
      <w:lvlJc w:val="left"/>
      <w:pPr>
        <w:ind w:left="142" w:firstLine="0"/>
      </w:pPr>
      <w:rPr>
        <w:rFonts w:hint="default" w:ascii="Times New Roman" w:hAnsi="Times New Roman" w:eastAsia="黑体" w:cs="Times New Roman"/>
        <w:b w:val="0"/>
        <w:i w:val="0"/>
        <w:sz w:val="24"/>
        <w:szCs w:val="24"/>
        <w:lang w:val="en-US"/>
      </w:rPr>
    </w:lvl>
    <w:lvl w:ilvl="2" w:tentative="0">
      <w:start w:val="1"/>
      <w:numFmt w:val="decimal"/>
      <w:pStyle w:val="93"/>
      <w:suff w:val="nothing"/>
      <w:lvlText w:val="%1%2.%3　"/>
      <w:lvlJc w:val="left"/>
      <w:pPr>
        <w:ind w:left="284" w:firstLine="0"/>
      </w:pPr>
      <w:rPr>
        <w:rFonts w:hint="default" w:ascii="Times New Roman" w:hAnsi="Times New Roman" w:eastAsia="宋体" w:cs="Times New Roman"/>
        <w:b w:val="0"/>
        <w:i w:val="0"/>
        <w:sz w:val="24"/>
        <w:szCs w:val="24"/>
      </w:rPr>
    </w:lvl>
    <w:lvl w:ilvl="3" w:tentative="0">
      <w:start w:val="1"/>
      <w:numFmt w:val="decimal"/>
      <w:pStyle w:val="103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宋体" w:cs="Times New Roman"/>
        <w:b w:val="0"/>
        <w:i w:val="0"/>
        <w:sz w:val="24"/>
        <w:szCs w:val="24"/>
      </w:rPr>
    </w:lvl>
    <w:lvl w:ilvl="4" w:tentative="0">
      <w:start w:val="1"/>
      <w:numFmt w:val="decimal"/>
      <w:pStyle w:val="102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lowerLetter"/>
      <w:pStyle w:val="101"/>
      <w:suff w:val="nothing"/>
      <w:lvlText w:val="%6)"/>
      <w:lvlJc w:val="left"/>
      <w:pPr>
        <w:ind w:left="0" w:firstLine="0"/>
      </w:pPr>
      <w:rPr>
        <w:rFonts w:ascii="黑体" w:hAnsi="宋体" w:eastAsia="黑体" w:cs="Times New Roman"/>
        <w:b w:val="0"/>
        <w:i w:val="0"/>
        <w:sz w:val="21"/>
      </w:rPr>
    </w:lvl>
    <w:lvl w:ilvl="6" w:tentative="0">
      <w:start w:val="1"/>
      <w:numFmt w:val="decimal"/>
      <w:pStyle w:val="159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9">
    <w:nsid w:val="00000016"/>
    <w:multiLevelType w:val="multilevel"/>
    <w:tmpl w:val="00000016"/>
    <w:lvl w:ilvl="0" w:tentative="0">
      <w:start w:val="1"/>
      <w:numFmt w:val="upperLetter"/>
      <w:pStyle w:val="104"/>
      <w:suff w:val="nothing"/>
      <w:lvlText w:val="附 录 %1"/>
      <w:lvlJc w:val="left"/>
      <w:pPr>
        <w:ind w:left="284" w:firstLine="0"/>
      </w:pPr>
      <w:rPr>
        <w:rFonts w:hint="default" w:ascii="Times New Roman" w:hAnsi="Times New Roman" w:eastAsia="黑体" w:cs="Times New Roman"/>
        <w:b w:val="0"/>
        <w:i w:val="0"/>
        <w:sz w:val="28"/>
        <w:szCs w:val="28"/>
      </w:rPr>
    </w:lvl>
    <w:lvl w:ilvl="1" w:tentative="0">
      <w:start w:val="1"/>
      <w:numFmt w:val="decimal"/>
      <w:pStyle w:val="82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00000018"/>
    <w:multiLevelType w:val="multilevel"/>
    <w:tmpl w:val="00000018"/>
    <w:lvl w:ilvl="0" w:tentative="0">
      <w:start w:val="1"/>
      <w:numFmt w:val="none"/>
      <w:pStyle w:val="138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115E081A"/>
    <w:multiLevelType w:val="multilevel"/>
    <w:tmpl w:val="115E081A"/>
    <w:lvl w:ilvl="0" w:tentative="0">
      <w:start w:val="1"/>
      <w:numFmt w:val="decimal"/>
      <w:pStyle w:val="127"/>
      <w:suff w:val="nothing"/>
      <w:lvlText w:val="%1  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1"/>
        <w:position w:val="0"/>
        <w:sz w:val="21"/>
        <w:u w:val="none"/>
        <w:vertAlign w:val="baseline"/>
      </w:rPr>
    </w:lvl>
    <w:lvl w:ilvl="1" w:tentative="0">
      <w:start w:val="1"/>
      <w:numFmt w:val="decimal"/>
      <w:pStyle w:val="123"/>
      <w:suff w:val="nothing"/>
      <w:lvlText w:val="%1.%2  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1"/>
        <w:position w:val="0"/>
        <w:sz w:val="21"/>
        <w:u w:val="none"/>
        <w:vertAlign w:val="baseline"/>
      </w:rPr>
    </w:lvl>
    <w:lvl w:ilvl="2" w:tentative="0">
      <w:start w:val="1"/>
      <w:numFmt w:val="decimal"/>
      <w:pStyle w:val="153"/>
      <w:suff w:val="nothing"/>
      <w:lvlText w:val="%1.%2.%3  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1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79"/>
      <w:suff w:val="nothing"/>
      <w:lvlText w:val="%1.%2.%3.%4  "/>
      <w:lvlJc w:val="left"/>
      <w:pPr>
        <w:ind w:left="851" w:firstLine="0"/>
      </w:pPr>
      <w:rPr>
        <w:rFonts w:hint="eastAsia" w:ascii="黑体" w:eastAsia="黑体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1"/>
        <w:position w:val="0"/>
        <w:sz w:val="21"/>
        <w:u w:val="none"/>
        <w:vertAlign w:val="baseline"/>
      </w:rPr>
    </w:lvl>
    <w:lvl w:ilvl="4" w:tentative="0">
      <w:start w:val="1"/>
      <w:numFmt w:val="decimal"/>
      <w:pStyle w:val="77"/>
      <w:suff w:val="nothing"/>
      <w:lvlText w:val="%1.%2.%3.%4.%5  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1"/>
        <w:position w:val="0"/>
        <w:sz w:val="21"/>
        <w:u w:val="none"/>
        <w:vertAlign w:val="baseline"/>
      </w:rPr>
    </w:lvl>
    <w:lvl w:ilvl="5" w:tentative="0">
      <w:start w:val="1"/>
      <w:numFmt w:val="decimal"/>
      <w:pStyle w:val="148"/>
      <w:suff w:val="nothing"/>
      <w:lvlText w:val="%1.%2.%3.%4.%5.%6  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1"/>
        <w:position w:val="0"/>
        <w:sz w:val="21"/>
        <w:u w:val="none"/>
        <w:vertAlign w:val="baseline"/>
      </w:rPr>
    </w:lvl>
    <w:lvl w:ilvl="6" w:tentative="0">
      <w:start w:val="1"/>
      <w:numFmt w:val="lowerRoman"/>
      <w:lvlText w:val="(%7)"/>
      <w:lvlJc w:val="left"/>
      <w:pPr>
        <w:tabs>
          <w:tab w:val="left" w:pos="5528"/>
        </w:tabs>
        <w:ind w:left="510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78"/>
        </w:tabs>
        <w:ind w:left="5953" w:firstLine="0"/>
      </w:pPr>
    </w:lvl>
    <w:lvl w:ilvl="8" w:tentative="0">
      <w:start w:val="1"/>
      <w:numFmt w:val="lowerRoman"/>
      <w:lvlText w:val="(%9)"/>
      <w:lvlJc w:val="left"/>
      <w:pPr>
        <w:tabs>
          <w:tab w:val="left" w:pos="7228"/>
        </w:tabs>
        <w:ind w:left="6803" w:firstLine="0"/>
      </w:pPr>
    </w:lvl>
  </w:abstractNum>
  <w:abstractNum w:abstractNumId="12">
    <w:nsid w:val="52CD4B4B"/>
    <w:multiLevelType w:val="multilevel"/>
    <w:tmpl w:val="52CD4B4B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2"/>
      <w:numFmt w:val="decimal"/>
      <w:isLgl/>
      <w:lvlText w:val="%1.%2"/>
      <w:lvlJc w:val="left"/>
      <w:pPr>
        <w:ind w:left="585" w:hanging="585"/>
      </w:pPr>
      <w:rPr>
        <w:rFonts w:hint="default"/>
      </w:rPr>
    </w:lvl>
    <w:lvl w:ilvl="2" w:tentative="0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6583FC3"/>
    <w:multiLevelType w:val="multilevel"/>
    <w:tmpl w:val="56583FC3"/>
    <w:lvl w:ilvl="0" w:tentative="0">
      <w:start w:val="1"/>
      <w:numFmt w:val="none"/>
      <w:pStyle w:val="120"/>
      <w:suff w:val="nothing"/>
      <w:lvlText w:val="——"/>
      <w:lvlJc w:val="left"/>
      <w:pPr>
        <w:ind w:left="1588" w:firstLine="0"/>
      </w:pPr>
      <w:rPr>
        <w:rFonts w:hint="eastAsia" w:ascii="黑体" w:hAnsi="Times New Roman" w:eastAsia="黑体"/>
        <w:b w:val="0"/>
        <w:i w:val="0"/>
        <w:spacing w:val="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  <w:rPr>
        <w:rFonts w:hint="eastAsia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"/>
  </w:num>
  <w:num w:numId="5">
    <w:abstractNumId w:val="13"/>
  </w:num>
  <w:num w:numId="6">
    <w:abstractNumId w:val="6"/>
  </w:num>
  <w:num w:numId="7">
    <w:abstractNumId w:val="7"/>
  </w:num>
  <w:num w:numId="8">
    <w:abstractNumId w:val="4"/>
  </w:num>
  <w:num w:numId="9">
    <w:abstractNumId w:val="10"/>
  </w:num>
  <w:num w:numId="10">
    <w:abstractNumId w:val="2"/>
  </w:num>
  <w:num w:numId="11">
    <w:abstractNumId w:val="5"/>
  </w:num>
  <w:num w:numId="12">
    <w:abstractNumId w:val="3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drawingGridHorizontalSpacing w:val="105"/>
  <w:drawingGridVerticalSpacing w:val="2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jZTIzZjA1MTY2YWZjMzgwYjA4MjBhMWY3ZDJkODgifQ=="/>
  </w:docVars>
  <w:rsids>
    <w:rsidRoot w:val="00172A27"/>
    <w:rsid w:val="0000120A"/>
    <w:rsid w:val="000015A3"/>
    <w:rsid w:val="00002954"/>
    <w:rsid w:val="00002C4B"/>
    <w:rsid w:val="00002D5F"/>
    <w:rsid w:val="00003FA7"/>
    <w:rsid w:val="0000487F"/>
    <w:rsid w:val="00007084"/>
    <w:rsid w:val="000138F1"/>
    <w:rsid w:val="00016032"/>
    <w:rsid w:val="000163E0"/>
    <w:rsid w:val="00017190"/>
    <w:rsid w:val="00020977"/>
    <w:rsid w:val="00021496"/>
    <w:rsid w:val="0002193C"/>
    <w:rsid w:val="00025943"/>
    <w:rsid w:val="0002610F"/>
    <w:rsid w:val="00026208"/>
    <w:rsid w:val="00026F3E"/>
    <w:rsid w:val="000271A7"/>
    <w:rsid w:val="00027B76"/>
    <w:rsid w:val="00027EF6"/>
    <w:rsid w:val="00032E57"/>
    <w:rsid w:val="0003389E"/>
    <w:rsid w:val="00036DFC"/>
    <w:rsid w:val="00037284"/>
    <w:rsid w:val="0004058B"/>
    <w:rsid w:val="000420E2"/>
    <w:rsid w:val="00044AA2"/>
    <w:rsid w:val="000470EB"/>
    <w:rsid w:val="00051CCB"/>
    <w:rsid w:val="000525CB"/>
    <w:rsid w:val="00052806"/>
    <w:rsid w:val="000531E0"/>
    <w:rsid w:val="00053D63"/>
    <w:rsid w:val="00054CFF"/>
    <w:rsid w:val="00056B62"/>
    <w:rsid w:val="00057AE2"/>
    <w:rsid w:val="0006005B"/>
    <w:rsid w:val="000603E4"/>
    <w:rsid w:val="0006350C"/>
    <w:rsid w:val="00063573"/>
    <w:rsid w:val="000665E5"/>
    <w:rsid w:val="00066A0A"/>
    <w:rsid w:val="00067C49"/>
    <w:rsid w:val="000701D7"/>
    <w:rsid w:val="000724E5"/>
    <w:rsid w:val="000731CA"/>
    <w:rsid w:val="00076976"/>
    <w:rsid w:val="0008107C"/>
    <w:rsid w:val="00083542"/>
    <w:rsid w:val="0008372A"/>
    <w:rsid w:val="0008489B"/>
    <w:rsid w:val="00085925"/>
    <w:rsid w:val="00085E64"/>
    <w:rsid w:val="000875B2"/>
    <w:rsid w:val="00093003"/>
    <w:rsid w:val="0009319C"/>
    <w:rsid w:val="00093E47"/>
    <w:rsid w:val="000957E3"/>
    <w:rsid w:val="00096C44"/>
    <w:rsid w:val="00097D52"/>
    <w:rsid w:val="000A2203"/>
    <w:rsid w:val="000A2B1F"/>
    <w:rsid w:val="000A6CFE"/>
    <w:rsid w:val="000A79C6"/>
    <w:rsid w:val="000B0A88"/>
    <w:rsid w:val="000B2692"/>
    <w:rsid w:val="000B2ED7"/>
    <w:rsid w:val="000B4F51"/>
    <w:rsid w:val="000B5735"/>
    <w:rsid w:val="000B7A40"/>
    <w:rsid w:val="000C010B"/>
    <w:rsid w:val="000C0707"/>
    <w:rsid w:val="000C0BC4"/>
    <w:rsid w:val="000C26A9"/>
    <w:rsid w:val="000C2836"/>
    <w:rsid w:val="000C3CAD"/>
    <w:rsid w:val="000C432F"/>
    <w:rsid w:val="000C4861"/>
    <w:rsid w:val="000C5606"/>
    <w:rsid w:val="000D0DC3"/>
    <w:rsid w:val="000D0E0B"/>
    <w:rsid w:val="000D1C87"/>
    <w:rsid w:val="000D3AC0"/>
    <w:rsid w:val="000D4BD7"/>
    <w:rsid w:val="000D632E"/>
    <w:rsid w:val="000D6B8A"/>
    <w:rsid w:val="000D71B9"/>
    <w:rsid w:val="000E02B2"/>
    <w:rsid w:val="000E0EA4"/>
    <w:rsid w:val="000E21A5"/>
    <w:rsid w:val="000E4664"/>
    <w:rsid w:val="000E61D1"/>
    <w:rsid w:val="000E65BD"/>
    <w:rsid w:val="000E7122"/>
    <w:rsid w:val="000E7B1B"/>
    <w:rsid w:val="000E7C14"/>
    <w:rsid w:val="000F0479"/>
    <w:rsid w:val="000F135B"/>
    <w:rsid w:val="000F4439"/>
    <w:rsid w:val="00100C8A"/>
    <w:rsid w:val="00101587"/>
    <w:rsid w:val="0010336D"/>
    <w:rsid w:val="00104AE1"/>
    <w:rsid w:val="00107005"/>
    <w:rsid w:val="0010788F"/>
    <w:rsid w:val="00110768"/>
    <w:rsid w:val="0011095A"/>
    <w:rsid w:val="00111183"/>
    <w:rsid w:val="001117CA"/>
    <w:rsid w:val="001119D9"/>
    <w:rsid w:val="00111B09"/>
    <w:rsid w:val="001126CF"/>
    <w:rsid w:val="001147FD"/>
    <w:rsid w:val="001178A6"/>
    <w:rsid w:val="00122009"/>
    <w:rsid w:val="00122FC6"/>
    <w:rsid w:val="00123188"/>
    <w:rsid w:val="00124C81"/>
    <w:rsid w:val="0012523A"/>
    <w:rsid w:val="0013046D"/>
    <w:rsid w:val="0013082A"/>
    <w:rsid w:val="00130AB5"/>
    <w:rsid w:val="00130AD1"/>
    <w:rsid w:val="00130F06"/>
    <w:rsid w:val="0013126D"/>
    <w:rsid w:val="00132B34"/>
    <w:rsid w:val="00135DE8"/>
    <w:rsid w:val="00137244"/>
    <w:rsid w:val="00137AA4"/>
    <w:rsid w:val="0014069B"/>
    <w:rsid w:val="00140D88"/>
    <w:rsid w:val="001411C4"/>
    <w:rsid w:val="00142235"/>
    <w:rsid w:val="001479CA"/>
    <w:rsid w:val="00147ECF"/>
    <w:rsid w:val="00150BC7"/>
    <w:rsid w:val="00151092"/>
    <w:rsid w:val="001534CA"/>
    <w:rsid w:val="0015436B"/>
    <w:rsid w:val="001547D9"/>
    <w:rsid w:val="0015734B"/>
    <w:rsid w:val="0015760E"/>
    <w:rsid w:val="00163A4D"/>
    <w:rsid w:val="00166851"/>
    <w:rsid w:val="00166D11"/>
    <w:rsid w:val="00167E30"/>
    <w:rsid w:val="001729D2"/>
    <w:rsid w:val="00172A27"/>
    <w:rsid w:val="001735A4"/>
    <w:rsid w:val="00175BDA"/>
    <w:rsid w:val="00176256"/>
    <w:rsid w:val="00176A7E"/>
    <w:rsid w:val="00176FCA"/>
    <w:rsid w:val="00183925"/>
    <w:rsid w:val="0018407E"/>
    <w:rsid w:val="0018631A"/>
    <w:rsid w:val="00187839"/>
    <w:rsid w:val="0019019B"/>
    <w:rsid w:val="001902DE"/>
    <w:rsid w:val="001929FA"/>
    <w:rsid w:val="00194634"/>
    <w:rsid w:val="001947FF"/>
    <w:rsid w:val="00194EE3"/>
    <w:rsid w:val="00196450"/>
    <w:rsid w:val="001975EA"/>
    <w:rsid w:val="001A0DAD"/>
    <w:rsid w:val="001A2DC8"/>
    <w:rsid w:val="001A3E3C"/>
    <w:rsid w:val="001A45C9"/>
    <w:rsid w:val="001A4D4A"/>
    <w:rsid w:val="001A5F54"/>
    <w:rsid w:val="001A75A0"/>
    <w:rsid w:val="001A7C9A"/>
    <w:rsid w:val="001B0C3D"/>
    <w:rsid w:val="001B1819"/>
    <w:rsid w:val="001B1E31"/>
    <w:rsid w:val="001B1EA6"/>
    <w:rsid w:val="001B2156"/>
    <w:rsid w:val="001B295F"/>
    <w:rsid w:val="001B3C8F"/>
    <w:rsid w:val="001B4E62"/>
    <w:rsid w:val="001B55C8"/>
    <w:rsid w:val="001B5D2D"/>
    <w:rsid w:val="001B6681"/>
    <w:rsid w:val="001C604D"/>
    <w:rsid w:val="001C67A8"/>
    <w:rsid w:val="001C7B15"/>
    <w:rsid w:val="001C7D59"/>
    <w:rsid w:val="001D022B"/>
    <w:rsid w:val="001D0A4D"/>
    <w:rsid w:val="001D0FD4"/>
    <w:rsid w:val="001D22FE"/>
    <w:rsid w:val="001D2D93"/>
    <w:rsid w:val="001D43DE"/>
    <w:rsid w:val="001E00B7"/>
    <w:rsid w:val="001E1969"/>
    <w:rsid w:val="001E317D"/>
    <w:rsid w:val="001E6FA1"/>
    <w:rsid w:val="001E7ADB"/>
    <w:rsid w:val="001F0055"/>
    <w:rsid w:val="001F0144"/>
    <w:rsid w:val="001F4C70"/>
    <w:rsid w:val="001F7188"/>
    <w:rsid w:val="001F7782"/>
    <w:rsid w:val="00200E99"/>
    <w:rsid w:val="00202E95"/>
    <w:rsid w:val="00204AC5"/>
    <w:rsid w:val="002076E7"/>
    <w:rsid w:val="00207E46"/>
    <w:rsid w:val="00210786"/>
    <w:rsid w:val="00212F92"/>
    <w:rsid w:val="00213F19"/>
    <w:rsid w:val="002146CF"/>
    <w:rsid w:val="00215C2A"/>
    <w:rsid w:val="002172B8"/>
    <w:rsid w:val="002231AE"/>
    <w:rsid w:val="00223FEE"/>
    <w:rsid w:val="00224F9F"/>
    <w:rsid w:val="00231F2B"/>
    <w:rsid w:val="00233CBB"/>
    <w:rsid w:val="00236C70"/>
    <w:rsid w:val="00237121"/>
    <w:rsid w:val="00240052"/>
    <w:rsid w:val="0024084C"/>
    <w:rsid w:val="00244848"/>
    <w:rsid w:val="0024542A"/>
    <w:rsid w:val="0024676D"/>
    <w:rsid w:val="00246802"/>
    <w:rsid w:val="00250041"/>
    <w:rsid w:val="002505FE"/>
    <w:rsid w:val="00251747"/>
    <w:rsid w:val="00252782"/>
    <w:rsid w:val="00253761"/>
    <w:rsid w:val="0025445B"/>
    <w:rsid w:val="00254699"/>
    <w:rsid w:val="00260FD7"/>
    <w:rsid w:val="0026176B"/>
    <w:rsid w:val="002619C4"/>
    <w:rsid w:val="00262BC4"/>
    <w:rsid w:val="00262E8E"/>
    <w:rsid w:val="00263927"/>
    <w:rsid w:val="00263984"/>
    <w:rsid w:val="00263A09"/>
    <w:rsid w:val="00264794"/>
    <w:rsid w:val="00264854"/>
    <w:rsid w:val="002653E2"/>
    <w:rsid w:val="00271B80"/>
    <w:rsid w:val="0027313C"/>
    <w:rsid w:val="00275450"/>
    <w:rsid w:val="00282E48"/>
    <w:rsid w:val="00284267"/>
    <w:rsid w:val="00286035"/>
    <w:rsid w:val="002864B3"/>
    <w:rsid w:val="002878DC"/>
    <w:rsid w:val="0029220D"/>
    <w:rsid w:val="00293CB7"/>
    <w:rsid w:val="00293F72"/>
    <w:rsid w:val="00295404"/>
    <w:rsid w:val="00295567"/>
    <w:rsid w:val="002972D7"/>
    <w:rsid w:val="002A0918"/>
    <w:rsid w:val="002A0FD2"/>
    <w:rsid w:val="002A1763"/>
    <w:rsid w:val="002A293E"/>
    <w:rsid w:val="002A2D32"/>
    <w:rsid w:val="002A4C59"/>
    <w:rsid w:val="002A53E1"/>
    <w:rsid w:val="002A5A22"/>
    <w:rsid w:val="002A6175"/>
    <w:rsid w:val="002A627F"/>
    <w:rsid w:val="002A69ED"/>
    <w:rsid w:val="002A75B3"/>
    <w:rsid w:val="002A7E03"/>
    <w:rsid w:val="002B0280"/>
    <w:rsid w:val="002B0332"/>
    <w:rsid w:val="002B125D"/>
    <w:rsid w:val="002B1ED2"/>
    <w:rsid w:val="002C105B"/>
    <w:rsid w:val="002C220E"/>
    <w:rsid w:val="002C4348"/>
    <w:rsid w:val="002C6152"/>
    <w:rsid w:val="002D0B7B"/>
    <w:rsid w:val="002D1272"/>
    <w:rsid w:val="002D3974"/>
    <w:rsid w:val="002D7A5B"/>
    <w:rsid w:val="002E044C"/>
    <w:rsid w:val="002E050E"/>
    <w:rsid w:val="002E15B8"/>
    <w:rsid w:val="002E21FF"/>
    <w:rsid w:val="002E3149"/>
    <w:rsid w:val="002E40D0"/>
    <w:rsid w:val="002E4E92"/>
    <w:rsid w:val="002E5165"/>
    <w:rsid w:val="002E773B"/>
    <w:rsid w:val="002E7B11"/>
    <w:rsid w:val="002F0EA1"/>
    <w:rsid w:val="002F10DA"/>
    <w:rsid w:val="002F2454"/>
    <w:rsid w:val="002F3BEE"/>
    <w:rsid w:val="002F7090"/>
    <w:rsid w:val="002F7A3C"/>
    <w:rsid w:val="00302298"/>
    <w:rsid w:val="00303973"/>
    <w:rsid w:val="00304585"/>
    <w:rsid w:val="0031191A"/>
    <w:rsid w:val="00311FF9"/>
    <w:rsid w:val="0031303E"/>
    <w:rsid w:val="00313AE5"/>
    <w:rsid w:val="00314F44"/>
    <w:rsid w:val="00315554"/>
    <w:rsid w:val="003208E5"/>
    <w:rsid w:val="00320CA1"/>
    <w:rsid w:val="00322611"/>
    <w:rsid w:val="00322817"/>
    <w:rsid w:val="00323719"/>
    <w:rsid w:val="003240F4"/>
    <w:rsid w:val="00324D09"/>
    <w:rsid w:val="00325DE5"/>
    <w:rsid w:val="00327ECF"/>
    <w:rsid w:val="0033027C"/>
    <w:rsid w:val="00333E1A"/>
    <w:rsid w:val="003365C5"/>
    <w:rsid w:val="0033766C"/>
    <w:rsid w:val="00337BD8"/>
    <w:rsid w:val="00340599"/>
    <w:rsid w:val="00340B44"/>
    <w:rsid w:val="00341737"/>
    <w:rsid w:val="003423E6"/>
    <w:rsid w:val="00345611"/>
    <w:rsid w:val="0034622D"/>
    <w:rsid w:val="00347878"/>
    <w:rsid w:val="00350865"/>
    <w:rsid w:val="003514F2"/>
    <w:rsid w:val="0035499C"/>
    <w:rsid w:val="00356714"/>
    <w:rsid w:val="003627EC"/>
    <w:rsid w:val="0036309F"/>
    <w:rsid w:val="003633B9"/>
    <w:rsid w:val="0036373A"/>
    <w:rsid w:val="003641D2"/>
    <w:rsid w:val="0036481E"/>
    <w:rsid w:val="003655F3"/>
    <w:rsid w:val="00370199"/>
    <w:rsid w:val="00370271"/>
    <w:rsid w:val="003705C6"/>
    <w:rsid w:val="00374300"/>
    <w:rsid w:val="00374C73"/>
    <w:rsid w:val="00375D8A"/>
    <w:rsid w:val="00377940"/>
    <w:rsid w:val="00381C0A"/>
    <w:rsid w:val="00390B58"/>
    <w:rsid w:val="00392E9A"/>
    <w:rsid w:val="0039648E"/>
    <w:rsid w:val="00396C97"/>
    <w:rsid w:val="003A364C"/>
    <w:rsid w:val="003A4C08"/>
    <w:rsid w:val="003A5120"/>
    <w:rsid w:val="003A57F9"/>
    <w:rsid w:val="003A5C0F"/>
    <w:rsid w:val="003A6FCE"/>
    <w:rsid w:val="003B405A"/>
    <w:rsid w:val="003B5E8C"/>
    <w:rsid w:val="003B6903"/>
    <w:rsid w:val="003B6C41"/>
    <w:rsid w:val="003B7220"/>
    <w:rsid w:val="003B7EA5"/>
    <w:rsid w:val="003C0EC5"/>
    <w:rsid w:val="003C64AD"/>
    <w:rsid w:val="003C6DD8"/>
    <w:rsid w:val="003C7534"/>
    <w:rsid w:val="003D122E"/>
    <w:rsid w:val="003D1EF6"/>
    <w:rsid w:val="003D31DC"/>
    <w:rsid w:val="003D4046"/>
    <w:rsid w:val="003D5670"/>
    <w:rsid w:val="003D69F4"/>
    <w:rsid w:val="003E220C"/>
    <w:rsid w:val="003E23DB"/>
    <w:rsid w:val="003E2E4A"/>
    <w:rsid w:val="003E35CF"/>
    <w:rsid w:val="003E5B3B"/>
    <w:rsid w:val="003E5CE8"/>
    <w:rsid w:val="003E740C"/>
    <w:rsid w:val="003E7BD8"/>
    <w:rsid w:val="003E7D7B"/>
    <w:rsid w:val="003F04D8"/>
    <w:rsid w:val="003F15AB"/>
    <w:rsid w:val="003F1A47"/>
    <w:rsid w:val="003F2C0A"/>
    <w:rsid w:val="003F370E"/>
    <w:rsid w:val="003F4700"/>
    <w:rsid w:val="003F50B2"/>
    <w:rsid w:val="003F5599"/>
    <w:rsid w:val="003F62AA"/>
    <w:rsid w:val="003F6311"/>
    <w:rsid w:val="00402E2C"/>
    <w:rsid w:val="0040387F"/>
    <w:rsid w:val="0040408F"/>
    <w:rsid w:val="00406845"/>
    <w:rsid w:val="004105C3"/>
    <w:rsid w:val="00410C08"/>
    <w:rsid w:val="00411043"/>
    <w:rsid w:val="00411C21"/>
    <w:rsid w:val="00413665"/>
    <w:rsid w:val="00415CBB"/>
    <w:rsid w:val="0041607D"/>
    <w:rsid w:val="00416344"/>
    <w:rsid w:val="004163D9"/>
    <w:rsid w:val="0041671C"/>
    <w:rsid w:val="0041789B"/>
    <w:rsid w:val="00417A07"/>
    <w:rsid w:val="00420B4C"/>
    <w:rsid w:val="00420BDA"/>
    <w:rsid w:val="00421004"/>
    <w:rsid w:val="00424F23"/>
    <w:rsid w:val="00426CDB"/>
    <w:rsid w:val="004308FE"/>
    <w:rsid w:val="0043162E"/>
    <w:rsid w:val="0043432D"/>
    <w:rsid w:val="00436097"/>
    <w:rsid w:val="00436BAE"/>
    <w:rsid w:val="0044216F"/>
    <w:rsid w:val="00442A4A"/>
    <w:rsid w:val="004437D3"/>
    <w:rsid w:val="004444FC"/>
    <w:rsid w:val="00446147"/>
    <w:rsid w:val="00447F66"/>
    <w:rsid w:val="00451B18"/>
    <w:rsid w:val="004531E7"/>
    <w:rsid w:val="00454C25"/>
    <w:rsid w:val="00457329"/>
    <w:rsid w:val="00457AF7"/>
    <w:rsid w:val="00463D66"/>
    <w:rsid w:val="00464F8A"/>
    <w:rsid w:val="00465726"/>
    <w:rsid w:val="004703AD"/>
    <w:rsid w:val="004705DA"/>
    <w:rsid w:val="00472420"/>
    <w:rsid w:val="00472D2F"/>
    <w:rsid w:val="00474F6B"/>
    <w:rsid w:val="00475238"/>
    <w:rsid w:val="00475D27"/>
    <w:rsid w:val="0048189D"/>
    <w:rsid w:val="00481933"/>
    <w:rsid w:val="004834B3"/>
    <w:rsid w:val="00485674"/>
    <w:rsid w:val="00485789"/>
    <w:rsid w:val="00486AD5"/>
    <w:rsid w:val="004917C2"/>
    <w:rsid w:val="00491A1F"/>
    <w:rsid w:val="00492100"/>
    <w:rsid w:val="004921A0"/>
    <w:rsid w:val="00492F6D"/>
    <w:rsid w:val="0049331A"/>
    <w:rsid w:val="00495106"/>
    <w:rsid w:val="00495713"/>
    <w:rsid w:val="004964B1"/>
    <w:rsid w:val="00496534"/>
    <w:rsid w:val="004A0D68"/>
    <w:rsid w:val="004A1FC9"/>
    <w:rsid w:val="004A2B3E"/>
    <w:rsid w:val="004A5D93"/>
    <w:rsid w:val="004A6D25"/>
    <w:rsid w:val="004A77E0"/>
    <w:rsid w:val="004A7E69"/>
    <w:rsid w:val="004B330B"/>
    <w:rsid w:val="004B786B"/>
    <w:rsid w:val="004C0D4D"/>
    <w:rsid w:val="004C223A"/>
    <w:rsid w:val="004C2BF8"/>
    <w:rsid w:val="004C59FF"/>
    <w:rsid w:val="004C6522"/>
    <w:rsid w:val="004C6529"/>
    <w:rsid w:val="004C7A3D"/>
    <w:rsid w:val="004D0C37"/>
    <w:rsid w:val="004D3B4D"/>
    <w:rsid w:val="004D3DA2"/>
    <w:rsid w:val="004D41CC"/>
    <w:rsid w:val="004D725B"/>
    <w:rsid w:val="004D77FA"/>
    <w:rsid w:val="004E06BD"/>
    <w:rsid w:val="004E0F47"/>
    <w:rsid w:val="004E26D3"/>
    <w:rsid w:val="004E34EE"/>
    <w:rsid w:val="004E432C"/>
    <w:rsid w:val="004E5710"/>
    <w:rsid w:val="004E5BB6"/>
    <w:rsid w:val="004E5DC6"/>
    <w:rsid w:val="004F0F1F"/>
    <w:rsid w:val="004F2A1F"/>
    <w:rsid w:val="004F2FFE"/>
    <w:rsid w:val="004F31FD"/>
    <w:rsid w:val="004F33DE"/>
    <w:rsid w:val="004F49E9"/>
    <w:rsid w:val="004F4ED2"/>
    <w:rsid w:val="004F5DAB"/>
    <w:rsid w:val="004F7D64"/>
    <w:rsid w:val="004F7F19"/>
    <w:rsid w:val="00501CF7"/>
    <w:rsid w:val="00503296"/>
    <w:rsid w:val="005070FE"/>
    <w:rsid w:val="00507BC7"/>
    <w:rsid w:val="00511B6E"/>
    <w:rsid w:val="00513971"/>
    <w:rsid w:val="0051648A"/>
    <w:rsid w:val="005176CF"/>
    <w:rsid w:val="0052127B"/>
    <w:rsid w:val="0052207F"/>
    <w:rsid w:val="00524081"/>
    <w:rsid w:val="00524AB8"/>
    <w:rsid w:val="00525115"/>
    <w:rsid w:val="00525260"/>
    <w:rsid w:val="005316C7"/>
    <w:rsid w:val="00532A08"/>
    <w:rsid w:val="00532C29"/>
    <w:rsid w:val="0053371D"/>
    <w:rsid w:val="00534451"/>
    <w:rsid w:val="00534615"/>
    <w:rsid w:val="00535358"/>
    <w:rsid w:val="005368E3"/>
    <w:rsid w:val="00537C16"/>
    <w:rsid w:val="00537E47"/>
    <w:rsid w:val="00537F58"/>
    <w:rsid w:val="00540FC7"/>
    <w:rsid w:val="00541D7A"/>
    <w:rsid w:val="0054397E"/>
    <w:rsid w:val="00543E65"/>
    <w:rsid w:val="00544731"/>
    <w:rsid w:val="0054492E"/>
    <w:rsid w:val="00545DA3"/>
    <w:rsid w:val="00546870"/>
    <w:rsid w:val="00547E4E"/>
    <w:rsid w:val="00550DEC"/>
    <w:rsid w:val="00553002"/>
    <w:rsid w:val="0055483A"/>
    <w:rsid w:val="00555754"/>
    <w:rsid w:val="00555CE4"/>
    <w:rsid w:val="00555F68"/>
    <w:rsid w:val="005579BB"/>
    <w:rsid w:val="005614CD"/>
    <w:rsid w:val="00561A8A"/>
    <w:rsid w:val="00563B4A"/>
    <w:rsid w:val="00566C39"/>
    <w:rsid w:val="005679C4"/>
    <w:rsid w:val="005711EB"/>
    <w:rsid w:val="00573156"/>
    <w:rsid w:val="00577A5C"/>
    <w:rsid w:val="00580034"/>
    <w:rsid w:val="00580605"/>
    <w:rsid w:val="00580B76"/>
    <w:rsid w:val="00581145"/>
    <w:rsid w:val="00581211"/>
    <w:rsid w:val="0058122F"/>
    <w:rsid w:val="00584573"/>
    <w:rsid w:val="00584C32"/>
    <w:rsid w:val="00585C5F"/>
    <w:rsid w:val="005909E3"/>
    <w:rsid w:val="005919B5"/>
    <w:rsid w:val="00594A00"/>
    <w:rsid w:val="005971B0"/>
    <w:rsid w:val="005A2818"/>
    <w:rsid w:val="005A3179"/>
    <w:rsid w:val="005A38C6"/>
    <w:rsid w:val="005A4123"/>
    <w:rsid w:val="005A54C6"/>
    <w:rsid w:val="005A6B64"/>
    <w:rsid w:val="005A6F4C"/>
    <w:rsid w:val="005A7325"/>
    <w:rsid w:val="005A7C91"/>
    <w:rsid w:val="005B14E6"/>
    <w:rsid w:val="005B22DB"/>
    <w:rsid w:val="005B47FE"/>
    <w:rsid w:val="005B6422"/>
    <w:rsid w:val="005B726D"/>
    <w:rsid w:val="005B7F04"/>
    <w:rsid w:val="005C063D"/>
    <w:rsid w:val="005C2A2C"/>
    <w:rsid w:val="005C4D6E"/>
    <w:rsid w:val="005C5A5F"/>
    <w:rsid w:val="005D6A67"/>
    <w:rsid w:val="005D6DF7"/>
    <w:rsid w:val="005D766D"/>
    <w:rsid w:val="005D7724"/>
    <w:rsid w:val="005E492A"/>
    <w:rsid w:val="005E4FAA"/>
    <w:rsid w:val="005F1D66"/>
    <w:rsid w:val="005F3419"/>
    <w:rsid w:val="005F3FFD"/>
    <w:rsid w:val="005F4955"/>
    <w:rsid w:val="005F7FBF"/>
    <w:rsid w:val="006010F0"/>
    <w:rsid w:val="00602023"/>
    <w:rsid w:val="00603212"/>
    <w:rsid w:val="00603860"/>
    <w:rsid w:val="00603F9E"/>
    <w:rsid w:val="00604013"/>
    <w:rsid w:val="00604507"/>
    <w:rsid w:val="00607A86"/>
    <w:rsid w:val="00607B7D"/>
    <w:rsid w:val="0061035F"/>
    <w:rsid w:val="00610E06"/>
    <w:rsid w:val="0061347A"/>
    <w:rsid w:val="00614287"/>
    <w:rsid w:val="006143E7"/>
    <w:rsid w:val="006157C6"/>
    <w:rsid w:val="006213B1"/>
    <w:rsid w:val="00623FD9"/>
    <w:rsid w:val="0062638A"/>
    <w:rsid w:val="0062676F"/>
    <w:rsid w:val="006273BE"/>
    <w:rsid w:val="00630C04"/>
    <w:rsid w:val="00631244"/>
    <w:rsid w:val="006319E6"/>
    <w:rsid w:val="00633E23"/>
    <w:rsid w:val="0063435B"/>
    <w:rsid w:val="006344A2"/>
    <w:rsid w:val="00636830"/>
    <w:rsid w:val="006378F0"/>
    <w:rsid w:val="0063792F"/>
    <w:rsid w:val="00642AB9"/>
    <w:rsid w:val="00643FDC"/>
    <w:rsid w:val="00644B71"/>
    <w:rsid w:val="00646944"/>
    <w:rsid w:val="00647832"/>
    <w:rsid w:val="0065070D"/>
    <w:rsid w:val="0065149E"/>
    <w:rsid w:val="00652981"/>
    <w:rsid w:val="006533E1"/>
    <w:rsid w:val="00654ACA"/>
    <w:rsid w:val="006571AB"/>
    <w:rsid w:val="0065758B"/>
    <w:rsid w:val="00657708"/>
    <w:rsid w:val="006600E0"/>
    <w:rsid w:val="0066178F"/>
    <w:rsid w:val="00661AD0"/>
    <w:rsid w:val="0066300E"/>
    <w:rsid w:val="00663235"/>
    <w:rsid w:val="006649B4"/>
    <w:rsid w:val="00664ADC"/>
    <w:rsid w:val="00666BEF"/>
    <w:rsid w:val="006672A4"/>
    <w:rsid w:val="00671071"/>
    <w:rsid w:val="006729A8"/>
    <w:rsid w:val="00673EE5"/>
    <w:rsid w:val="006761CA"/>
    <w:rsid w:val="00676B09"/>
    <w:rsid w:val="00681D5D"/>
    <w:rsid w:val="00682775"/>
    <w:rsid w:val="00683248"/>
    <w:rsid w:val="006838A7"/>
    <w:rsid w:val="00683DCE"/>
    <w:rsid w:val="00684FA8"/>
    <w:rsid w:val="00685224"/>
    <w:rsid w:val="00685C1E"/>
    <w:rsid w:val="0068642D"/>
    <w:rsid w:val="00693E51"/>
    <w:rsid w:val="0069434C"/>
    <w:rsid w:val="00695D0E"/>
    <w:rsid w:val="006A00E4"/>
    <w:rsid w:val="006A047A"/>
    <w:rsid w:val="006A20EA"/>
    <w:rsid w:val="006A37AD"/>
    <w:rsid w:val="006A3E42"/>
    <w:rsid w:val="006A44DC"/>
    <w:rsid w:val="006A4675"/>
    <w:rsid w:val="006A51C9"/>
    <w:rsid w:val="006A594F"/>
    <w:rsid w:val="006A5D45"/>
    <w:rsid w:val="006A6576"/>
    <w:rsid w:val="006A745D"/>
    <w:rsid w:val="006B0CF5"/>
    <w:rsid w:val="006B1B84"/>
    <w:rsid w:val="006B3430"/>
    <w:rsid w:val="006B386E"/>
    <w:rsid w:val="006B41C9"/>
    <w:rsid w:val="006B4629"/>
    <w:rsid w:val="006B5433"/>
    <w:rsid w:val="006C254D"/>
    <w:rsid w:val="006C2C4D"/>
    <w:rsid w:val="006C355D"/>
    <w:rsid w:val="006C5866"/>
    <w:rsid w:val="006D125C"/>
    <w:rsid w:val="006D2B00"/>
    <w:rsid w:val="006D3A2A"/>
    <w:rsid w:val="006D5480"/>
    <w:rsid w:val="006D5ED2"/>
    <w:rsid w:val="006E0719"/>
    <w:rsid w:val="006E15D5"/>
    <w:rsid w:val="006E2D86"/>
    <w:rsid w:val="006E540F"/>
    <w:rsid w:val="006E5972"/>
    <w:rsid w:val="006E62DC"/>
    <w:rsid w:val="006E7929"/>
    <w:rsid w:val="006F4622"/>
    <w:rsid w:val="006F48E5"/>
    <w:rsid w:val="006F6AF8"/>
    <w:rsid w:val="006F7384"/>
    <w:rsid w:val="006F75EE"/>
    <w:rsid w:val="0070509D"/>
    <w:rsid w:val="007050DC"/>
    <w:rsid w:val="00705206"/>
    <w:rsid w:val="00707249"/>
    <w:rsid w:val="00710322"/>
    <w:rsid w:val="00711004"/>
    <w:rsid w:val="00711376"/>
    <w:rsid w:val="00711C22"/>
    <w:rsid w:val="00712067"/>
    <w:rsid w:val="007127DA"/>
    <w:rsid w:val="007137EE"/>
    <w:rsid w:val="0071388F"/>
    <w:rsid w:val="00713C26"/>
    <w:rsid w:val="00715FD1"/>
    <w:rsid w:val="0071703A"/>
    <w:rsid w:val="007207B3"/>
    <w:rsid w:val="007215AD"/>
    <w:rsid w:val="00724AF1"/>
    <w:rsid w:val="00725B37"/>
    <w:rsid w:val="00727472"/>
    <w:rsid w:val="007276E5"/>
    <w:rsid w:val="007321D9"/>
    <w:rsid w:val="0073449F"/>
    <w:rsid w:val="00734A09"/>
    <w:rsid w:val="00735266"/>
    <w:rsid w:val="0073595E"/>
    <w:rsid w:val="0073676E"/>
    <w:rsid w:val="00740FC6"/>
    <w:rsid w:val="007413F7"/>
    <w:rsid w:val="0074373A"/>
    <w:rsid w:val="00744877"/>
    <w:rsid w:val="00745CC9"/>
    <w:rsid w:val="00750980"/>
    <w:rsid w:val="00750B2B"/>
    <w:rsid w:val="00752FEE"/>
    <w:rsid w:val="00754325"/>
    <w:rsid w:val="00755948"/>
    <w:rsid w:val="00757712"/>
    <w:rsid w:val="00760A4A"/>
    <w:rsid w:val="00760C7E"/>
    <w:rsid w:val="00761B36"/>
    <w:rsid w:val="00764D71"/>
    <w:rsid w:val="00765D99"/>
    <w:rsid w:val="00767FA7"/>
    <w:rsid w:val="007705C8"/>
    <w:rsid w:val="00771198"/>
    <w:rsid w:val="00771BA1"/>
    <w:rsid w:val="00772E69"/>
    <w:rsid w:val="0077326E"/>
    <w:rsid w:val="00782480"/>
    <w:rsid w:val="00784911"/>
    <w:rsid w:val="0078672C"/>
    <w:rsid w:val="0078792E"/>
    <w:rsid w:val="0078799E"/>
    <w:rsid w:val="00791699"/>
    <w:rsid w:val="007920A9"/>
    <w:rsid w:val="00793009"/>
    <w:rsid w:val="00793282"/>
    <w:rsid w:val="00794842"/>
    <w:rsid w:val="0079668E"/>
    <w:rsid w:val="007A0600"/>
    <w:rsid w:val="007A11F6"/>
    <w:rsid w:val="007A14F1"/>
    <w:rsid w:val="007A16ED"/>
    <w:rsid w:val="007A202D"/>
    <w:rsid w:val="007A4A9B"/>
    <w:rsid w:val="007A4BA3"/>
    <w:rsid w:val="007A4CC4"/>
    <w:rsid w:val="007A7E4F"/>
    <w:rsid w:val="007A7EB6"/>
    <w:rsid w:val="007B2535"/>
    <w:rsid w:val="007B27FE"/>
    <w:rsid w:val="007B3B24"/>
    <w:rsid w:val="007B4039"/>
    <w:rsid w:val="007B4E57"/>
    <w:rsid w:val="007B4EEE"/>
    <w:rsid w:val="007B503C"/>
    <w:rsid w:val="007B7EE1"/>
    <w:rsid w:val="007C235D"/>
    <w:rsid w:val="007C2881"/>
    <w:rsid w:val="007C2D49"/>
    <w:rsid w:val="007C4007"/>
    <w:rsid w:val="007C5F65"/>
    <w:rsid w:val="007C7CBB"/>
    <w:rsid w:val="007D3785"/>
    <w:rsid w:val="007D71AC"/>
    <w:rsid w:val="007E516E"/>
    <w:rsid w:val="007F0048"/>
    <w:rsid w:val="007F1994"/>
    <w:rsid w:val="007F7703"/>
    <w:rsid w:val="008006F9"/>
    <w:rsid w:val="00803808"/>
    <w:rsid w:val="008047C1"/>
    <w:rsid w:val="00804DBE"/>
    <w:rsid w:val="00811B8F"/>
    <w:rsid w:val="0081359B"/>
    <w:rsid w:val="0081795B"/>
    <w:rsid w:val="00823715"/>
    <w:rsid w:val="00823CC0"/>
    <w:rsid w:val="00831D85"/>
    <w:rsid w:val="0083322C"/>
    <w:rsid w:val="00833A56"/>
    <w:rsid w:val="00835BF2"/>
    <w:rsid w:val="008428B6"/>
    <w:rsid w:val="008436FC"/>
    <w:rsid w:val="0085091F"/>
    <w:rsid w:val="008524C3"/>
    <w:rsid w:val="00853D55"/>
    <w:rsid w:val="00853DB6"/>
    <w:rsid w:val="00854BC3"/>
    <w:rsid w:val="00855463"/>
    <w:rsid w:val="00856262"/>
    <w:rsid w:val="008563F5"/>
    <w:rsid w:val="0085697A"/>
    <w:rsid w:val="00857268"/>
    <w:rsid w:val="00857363"/>
    <w:rsid w:val="008600D3"/>
    <w:rsid w:val="008635BB"/>
    <w:rsid w:val="00863AC9"/>
    <w:rsid w:val="00863D3B"/>
    <w:rsid w:val="00863DCE"/>
    <w:rsid w:val="00864BA6"/>
    <w:rsid w:val="00866229"/>
    <w:rsid w:val="00870875"/>
    <w:rsid w:val="008728B3"/>
    <w:rsid w:val="00874CE6"/>
    <w:rsid w:val="00875312"/>
    <w:rsid w:val="00875414"/>
    <w:rsid w:val="008767FD"/>
    <w:rsid w:val="00877DFB"/>
    <w:rsid w:val="008801BF"/>
    <w:rsid w:val="00882BCC"/>
    <w:rsid w:val="008837C1"/>
    <w:rsid w:val="008838C6"/>
    <w:rsid w:val="00883BEE"/>
    <w:rsid w:val="00884FDA"/>
    <w:rsid w:val="0088520D"/>
    <w:rsid w:val="00886332"/>
    <w:rsid w:val="008878D7"/>
    <w:rsid w:val="00887A4B"/>
    <w:rsid w:val="0089064F"/>
    <w:rsid w:val="00890679"/>
    <w:rsid w:val="00891A20"/>
    <w:rsid w:val="00891C68"/>
    <w:rsid w:val="00893BE9"/>
    <w:rsid w:val="008951BF"/>
    <w:rsid w:val="0089629D"/>
    <w:rsid w:val="008A04DA"/>
    <w:rsid w:val="008A7D34"/>
    <w:rsid w:val="008B415A"/>
    <w:rsid w:val="008B55F6"/>
    <w:rsid w:val="008B62C3"/>
    <w:rsid w:val="008B6F2C"/>
    <w:rsid w:val="008C0298"/>
    <w:rsid w:val="008C2478"/>
    <w:rsid w:val="008C2933"/>
    <w:rsid w:val="008C349B"/>
    <w:rsid w:val="008C3ED4"/>
    <w:rsid w:val="008C6FC1"/>
    <w:rsid w:val="008D1E17"/>
    <w:rsid w:val="008D3518"/>
    <w:rsid w:val="008D569A"/>
    <w:rsid w:val="008D6990"/>
    <w:rsid w:val="008D7505"/>
    <w:rsid w:val="008E349B"/>
    <w:rsid w:val="008E489C"/>
    <w:rsid w:val="008E4DAD"/>
    <w:rsid w:val="008E51B9"/>
    <w:rsid w:val="008E6298"/>
    <w:rsid w:val="008E7E7E"/>
    <w:rsid w:val="008F1446"/>
    <w:rsid w:val="008F18D5"/>
    <w:rsid w:val="008F1D0E"/>
    <w:rsid w:val="008F3E75"/>
    <w:rsid w:val="008F4A96"/>
    <w:rsid w:val="009003E1"/>
    <w:rsid w:val="009045C8"/>
    <w:rsid w:val="00904903"/>
    <w:rsid w:val="00907567"/>
    <w:rsid w:val="00910000"/>
    <w:rsid w:val="00910148"/>
    <w:rsid w:val="00911119"/>
    <w:rsid w:val="009124FE"/>
    <w:rsid w:val="00912D1E"/>
    <w:rsid w:val="00912E87"/>
    <w:rsid w:val="009146F4"/>
    <w:rsid w:val="00915204"/>
    <w:rsid w:val="00916759"/>
    <w:rsid w:val="009206FF"/>
    <w:rsid w:val="00921F8C"/>
    <w:rsid w:val="009225B9"/>
    <w:rsid w:val="00923127"/>
    <w:rsid w:val="009234B2"/>
    <w:rsid w:val="00924225"/>
    <w:rsid w:val="00925C59"/>
    <w:rsid w:val="00926BAE"/>
    <w:rsid w:val="00930C3B"/>
    <w:rsid w:val="00930E2F"/>
    <w:rsid w:val="0093224B"/>
    <w:rsid w:val="00933CDC"/>
    <w:rsid w:val="00933EF5"/>
    <w:rsid w:val="009344F8"/>
    <w:rsid w:val="00934D43"/>
    <w:rsid w:val="009363AC"/>
    <w:rsid w:val="00943F7C"/>
    <w:rsid w:val="00944D83"/>
    <w:rsid w:val="0094632F"/>
    <w:rsid w:val="009475A2"/>
    <w:rsid w:val="00947F48"/>
    <w:rsid w:val="0095080D"/>
    <w:rsid w:val="00950948"/>
    <w:rsid w:val="00952EEC"/>
    <w:rsid w:val="00961066"/>
    <w:rsid w:val="0096541E"/>
    <w:rsid w:val="00965947"/>
    <w:rsid w:val="009670C4"/>
    <w:rsid w:val="00973F14"/>
    <w:rsid w:val="0097408C"/>
    <w:rsid w:val="009764F6"/>
    <w:rsid w:val="00980049"/>
    <w:rsid w:val="0098123F"/>
    <w:rsid w:val="009825FC"/>
    <w:rsid w:val="00982B07"/>
    <w:rsid w:val="00984271"/>
    <w:rsid w:val="009853D1"/>
    <w:rsid w:val="0098631C"/>
    <w:rsid w:val="009869CD"/>
    <w:rsid w:val="00986CF7"/>
    <w:rsid w:val="009909AC"/>
    <w:rsid w:val="00991066"/>
    <w:rsid w:val="0099228B"/>
    <w:rsid w:val="0099463E"/>
    <w:rsid w:val="0099783A"/>
    <w:rsid w:val="009A0C37"/>
    <w:rsid w:val="009A1A4F"/>
    <w:rsid w:val="009A1EB7"/>
    <w:rsid w:val="009A219F"/>
    <w:rsid w:val="009A4226"/>
    <w:rsid w:val="009A62A3"/>
    <w:rsid w:val="009A7D10"/>
    <w:rsid w:val="009B0C69"/>
    <w:rsid w:val="009B18A6"/>
    <w:rsid w:val="009B2019"/>
    <w:rsid w:val="009B34D1"/>
    <w:rsid w:val="009B3E79"/>
    <w:rsid w:val="009B4F9E"/>
    <w:rsid w:val="009B5188"/>
    <w:rsid w:val="009B5387"/>
    <w:rsid w:val="009B7E8F"/>
    <w:rsid w:val="009C1EC5"/>
    <w:rsid w:val="009C2C1F"/>
    <w:rsid w:val="009C3C9D"/>
    <w:rsid w:val="009C5CE3"/>
    <w:rsid w:val="009C6237"/>
    <w:rsid w:val="009C74B3"/>
    <w:rsid w:val="009C79F0"/>
    <w:rsid w:val="009C7B16"/>
    <w:rsid w:val="009D406C"/>
    <w:rsid w:val="009D5533"/>
    <w:rsid w:val="009D5B00"/>
    <w:rsid w:val="009D5C2D"/>
    <w:rsid w:val="009E1DA1"/>
    <w:rsid w:val="009E4F24"/>
    <w:rsid w:val="009E566D"/>
    <w:rsid w:val="009E5BE2"/>
    <w:rsid w:val="009E644B"/>
    <w:rsid w:val="009E6F30"/>
    <w:rsid w:val="009F1328"/>
    <w:rsid w:val="009F32C4"/>
    <w:rsid w:val="009F3981"/>
    <w:rsid w:val="009F3B3A"/>
    <w:rsid w:val="009F499B"/>
    <w:rsid w:val="009F5DEA"/>
    <w:rsid w:val="009F673C"/>
    <w:rsid w:val="009F6E08"/>
    <w:rsid w:val="00A0186E"/>
    <w:rsid w:val="00A01BC5"/>
    <w:rsid w:val="00A037E5"/>
    <w:rsid w:val="00A0454E"/>
    <w:rsid w:val="00A05986"/>
    <w:rsid w:val="00A10354"/>
    <w:rsid w:val="00A10871"/>
    <w:rsid w:val="00A11616"/>
    <w:rsid w:val="00A11AD4"/>
    <w:rsid w:val="00A12CB3"/>
    <w:rsid w:val="00A1419C"/>
    <w:rsid w:val="00A14A1B"/>
    <w:rsid w:val="00A20D95"/>
    <w:rsid w:val="00A227EB"/>
    <w:rsid w:val="00A2355C"/>
    <w:rsid w:val="00A26182"/>
    <w:rsid w:val="00A27003"/>
    <w:rsid w:val="00A27061"/>
    <w:rsid w:val="00A2713D"/>
    <w:rsid w:val="00A30244"/>
    <w:rsid w:val="00A3088D"/>
    <w:rsid w:val="00A30D29"/>
    <w:rsid w:val="00A310C5"/>
    <w:rsid w:val="00A340E7"/>
    <w:rsid w:val="00A35202"/>
    <w:rsid w:val="00A36147"/>
    <w:rsid w:val="00A37650"/>
    <w:rsid w:val="00A37957"/>
    <w:rsid w:val="00A41827"/>
    <w:rsid w:val="00A420CD"/>
    <w:rsid w:val="00A45382"/>
    <w:rsid w:val="00A45E35"/>
    <w:rsid w:val="00A501D6"/>
    <w:rsid w:val="00A51E2E"/>
    <w:rsid w:val="00A52922"/>
    <w:rsid w:val="00A550B0"/>
    <w:rsid w:val="00A559D8"/>
    <w:rsid w:val="00A57726"/>
    <w:rsid w:val="00A61927"/>
    <w:rsid w:val="00A6277C"/>
    <w:rsid w:val="00A62EB3"/>
    <w:rsid w:val="00A64449"/>
    <w:rsid w:val="00A64EBF"/>
    <w:rsid w:val="00A67347"/>
    <w:rsid w:val="00A704C6"/>
    <w:rsid w:val="00A70592"/>
    <w:rsid w:val="00A70B75"/>
    <w:rsid w:val="00A71458"/>
    <w:rsid w:val="00A73871"/>
    <w:rsid w:val="00A73A03"/>
    <w:rsid w:val="00A75087"/>
    <w:rsid w:val="00A75834"/>
    <w:rsid w:val="00A75D33"/>
    <w:rsid w:val="00A75DF5"/>
    <w:rsid w:val="00A75E07"/>
    <w:rsid w:val="00A766B4"/>
    <w:rsid w:val="00A774AC"/>
    <w:rsid w:val="00A80D1F"/>
    <w:rsid w:val="00A813C8"/>
    <w:rsid w:val="00A8172D"/>
    <w:rsid w:val="00A81F94"/>
    <w:rsid w:val="00A82471"/>
    <w:rsid w:val="00A83C79"/>
    <w:rsid w:val="00A83E95"/>
    <w:rsid w:val="00A843C6"/>
    <w:rsid w:val="00A84928"/>
    <w:rsid w:val="00A8588A"/>
    <w:rsid w:val="00A85D43"/>
    <w:rsid w:val="00A87AD2"/>
    <w:rsid w:val="00A87F17"/>
    <w:rsid w:val="00A912B4"/>
    <w:rsid w:val="00A93609"/>
    <w:rsid w:val="00A968E5"/>
    <w:rsid w:val="00AA0289"/>
    <w:rsid w:val="00AA29E0"/>
    <w:rsid w:val="00AA2D6B"/>
    <w:rsid w:val="00AA524A"/>
    <w:rsid w:val="00AA7839"/>
    <w:rsid w:val="00AB32C3"/>
    <w:rsid w:val="00AB363F"/>
    <w:rsid w:val="00AB404C"/>
    <w:rsid w:val="00AB49FE"/>
    <w:rsid w:val="00AB4DD5"/>
    <w:rsid w:val="00AB514A"/>
    <w:rsid w:val="00AB5BD1"/>
    <w:rsid w:val="00AB7692"/>
    <w:rsid w:val="00AB78CB"/>
    <w:rsid w:val="00AC073A"/>
    <w:rsid w:val="00AC0990"/>
    <w:rsid w:val="00AC09B8"/>
    <w:rsid w:val="00AC0BFD"/>
    <w:rsid w:val="00AC43CC"/>
    <w:rsid w:val="00AC5217"/>
    <w:rsid w:val="00AC52C5"/>
    <w:rsid w:val="00AC59CE"/>
    <w:rsid w:val="00AD0AE2"/>
    <w:rsid w:val="00AD26B4"/>
    <w:rsid w:val="00AD442F"/>
    <w:rsid w:val="00AD5E9C"/>
    <w:rsid w:val="00AD5FD8"/>
    <w:rsid w:val="00AD7865"/>
    <w:rsid w:val="00AE06FC"/>
    <w:rsid w:val="00AE0A92"/>
    <w:rsid w:val="00AE289D"/>
    <w:rsid w:val="00AE2939"/>
    <w:rsid w:val="00AE3530"/>
    <w:rsid w:val="00AE5DC7"/>
    <w:rsid w:val="00AE773D"/>
    <w:rsid w:val="00AE7FBD"/>
    <w:rsid w:val="00AF006C"/>
    <w:rsid w:val="00AF0D68"/>
    <w:rsid w:val="00AF350A"/>
    <w:rsid w:val="00AF458B"/>
    <w:rsid w:val="00AF5CCC"/>
    <w:rsid w:val="00AF6225"/>
    <w:rsid w:val="00AF638D"/>
    <w:rsid w:val="00AF67D5"/>
    <w:rsid w:val="00B0267B"/>
    <w:rsid w:val="00B02707"/>
    <w:rsid w:val="00B03572"/>
    <w:rsid w:val="00B056F8"/>
    <w:rsid w:val="00B057E7"/>
    <w:rsid w:val="00B05F3E"/>
    <w:rsid w:val="00B07B59"/>
    <w:rsid w:val="00B1087C"/>
    <w:rsid w:val="00B113D6"/>
    <w:rsid w:val="00B116F9"/>
    <w:rsid w:val="00B13484"/>
    <w:rsid w:val="00B1427B"/>
    <w:rsid w:val="00B14DE4"/>
    <w:rsid w:val="00B14F71"/>
    <w:rsid w:val="00B16757"/>
    <w:rsid w:val="00B21574"/>
    <w:rsid w:val="00B237D6"/>
    <w:rsid w:val="00B30808"/>
    <w:rsid w:val="00B30AA7"/>
    <w:rsid w:val="00B317EF"/>
    <w:rsid w:val="00B343C0"/>
    <w:rsid w:val="00B34C08"/>
    <w:rsid w:val="00B35174"/>
    <w:rsid w:val="00B3573D"/>
    <w:rsid w:val="00B37648"/>
    <w:rsid w:val="00B40454"/>
    <w:rsid w:val="00B40B75"/>
    <w:rsid w:val="00B41774"/>
    <w:rsid w:val="00B41896"/>
    <w:rsid w:val="00B420B5"/>
    <w:rsid w:val="00B42B16"/>
    <w:rsid w:val="00B435BB"/>
    <w:rsid w:val="00B44937"/>
    <w:rsid w:val="00B468C1"/>
    <w:rsid w:val="00B50490"/>
    <w:rsid w:val="00B50CEF"/>
    <w:rsid w:val="00B54F32"/>
    <w:rsid w:val="00B5637A"/>
    <w:rsid w:val="00B5749A"/>
    <w:rsid w:val="00B57DB3"/>
    <w:rsid w:val="00B6001E"/>
    <w:rsid w:val="00B63527"/>
    <w:rsid w:val="00B636A7"/>
    <w:rsid w:val="00B65F93"/>
    <w:rsid w:val="00B704FE"/>
    <w:rsid w:val="00B71B36"/>
    <w:rsid w:val="00B743D8"/>
    <w:rsid w:val="00B74B33"/>
    <w:rsid w:val="00B77DC3"/>
    <w:rsid w:val="00B8054A"/>
    <w:rsid w:val="00B8143A"/>
    <w:rsid w:val="00B82A32"/>
    <w:rsid w:val="00B835B2"/>
    <w:rsid w:val="00B8384A"/>
    <w:rsid w:val="00B8399C"/>
    <w:rsid w:val="00B844E9"/>
    <w:rsid w:val="00B847B7"/>
    <w:rsid w:val="00B90E74"/>
    <w:rsid w:val="00B916AC"/>
    <w:rsid w:val="00B96097"/>
    <w:rsid w:val="00B9676B"/>
    <w:rsid w:val="00B97237"/>
    <w:rsid w:val="00B976FF"/>
    <w:rsid w:val="00BA07B2"/>
    <w:rsid w:val="00BA13D2"/>
    <w:rsid w:val="00BA1FF7"/>
    <w:rsid w:val="00BA6003"/>
    <w:rsid w:val="00BA62DF"/>
    <w:rsid w:val="00BA6881"/>
    <w:rsid w:val="00BA7DC8"/>
    <w:rsid w:val="00BB1158"/>
    <w:rsid w:val="00BB16B9"/>
    <w:rsid w:val="00BB1D1E"/>
    <w:rsid w:val="00BB2C6D"/>
    <w:rsid w:val="00BB488F"/>
    <w:rsid w:val="00BC0B5D"/>
    <w:rsid w:val="00BC0EEA"/>
    <w:rsid w:val="00BC116F"/>
    <w:rsid w:val="00BC4FF4"/>
    <w:rsid w:val="00BD13E2"/>
    <w:rsid w:val="00BD1915"/>
    <w:rsid w:val="00BD5BCF"/>
    <w:rsid w:val="00BD6E67"/>
    <w:rsid w:val="00BD7240"/>
    <w:rsid w:val="00BE030B"/>
    <w:rsid w:val="00BE1498"/>
    <w:rsid w:val="00BE1C06"/>
    <w:rsid w:val="00BE1CB6"/>
    <w:rsid w:val="00BE3277"/>
    <w:rsid w:val="00BE32E7"/>
    <w:rsid w:val="00BE356F"/>
    <w:rsid w:val="00BE58CE"/>
    <w:rsid w:val="00BE62DE"/>
    <w:rsid w:val="00BE6977"/>
    <w:rsid w:val="00BF0BAB"/>
    <w:rsid w:val="00BF0C98"/>
    <w:rsid w:val="00BF269A"/>
    <w:rsid w:val="00BF2B8E"/>
    <w:rsid w:val="00BF4AF6"/>
    <w:rsid w:val="00BF6959"/>
    <w:rsid w:val="00BF6A18"/>
    <w:rsid w:val="00C04E26"/>
    <w:rsid w:val="00C0504E"/>
    <w:rsid w:val="00C05861"/>
    <w:rsid w:val="00C10691"/>
    <w:rsid w:val="00C110A0"/>
    <w:rsid w:val="00C12304"/>
    <w:rsid w:val="00C13084"/>
    <w:rsid w:val="00C13479"/>
    <w:rsid w:val="00C1393D"/>
    <w:rsid w:val="00C147A7"/>
    <w:rsid w:val="00C15EF7"/>
    <w:rsid w:val="00C16C36"/>
    <w:rsid w:val="00C17FBD"/>
    <w:rsid w:val="00C24B76"/>
    <w:rsid w:val="00C269C9"/>
    <w:rsid w:val="00C26EB3"/>
    <w:rsid w:val="00C27656"/>
    <w:rsid w:val="00C27B0A"/>
    <w:rsid w:val="00C32ED3"/>
    <w:rsid w:val="00C3365D"/>
    <w:rsid w:val="00C3428F"/>
    <w:rsid w:val="00C3481B"/>
    <w:rsid w:val="00C34D22"/>
    <w:rsid w:val="00C35317"/>
    <w:rsid w:val="00C36B37"/>
    <w:rsid w:val="00C36DA9"/>
    <w:rsid w:val="00C41B7F"/>
    <w:rsid w:val="00C41FF3"/>
    <w:rsid w:val="00C42EA0"/>
    <w:rsid w:val="00C42FD7"/>
    <w:rsid w:val="00C448F7"/>
    <w:rsid w:val="00C45750"/>
    <w:rsid w:val="00C46FF2"/>
    <w:rsid w:val="00C5048D"/>
    <w:rsid w:val="00C510E4"/>
    <w:rsid w:val="00C525B5"/>
    <w:rsid w:val="00C53627"/>
    <w:rsid w:val="00C539E0"/>
    <w:rsid w:val="00C53DC5"/>
    <w:rsid w:val="00C54347"/>
    <w:rsid w:val="00C554F2"/>
    <w:rsid w:val="00C5744C"/>
    <w:rsid w:val="00C60169"/>
    <w:rsid w:val="00C62C6B"/>
    <w:rsid w:val="00C63425"/>
    <w:rsid w:val="00C670AB"/>
    <w:rsid w:val="00C676B2"/>
    <w:rsid w:val="00C70064"/>
    <w:rsid w:val="00C7057B"/>
    <w:rsid w:val="00C70767"/>
    <w:rsid w:val="00C715EF"/>
    <w:rsid w:val="00C766F7"/>
    <w:rsid w:val="00C76F45"/>
    <w:rsid w:val="00C77E30"/>
    <w:rsid w:val="00C802EA"/>
    <w:rsid w:val="00C804C7"/>
    <w:rsid w:val="00C80D09"/>
    <w:rsid w:val="00C82D10"/>
    <w:rsid w:val="00C8428F"/>
    <w:rsid w:val="00C85E43"/>
    <w:rsid w:val="00C91F80"/>
    <w:rsid w:val="00C929B6"/>
    <w:rsid w:val="00C92E03"/>
    <w:rsid w:val="00C93989"/>
    <w:rsid w:val="00C95853"/>
    <w:rsid w:val="00C963A6"/>
    <w:rsid w:val="00C96A9E"/>
    <w:rsid w:val="00C976A8"/>
    <w:rsid w:val="00CA00DA"/>
    <w:rsid w:val="00CA033C"/>
    <w:rsid w:val="00CA22A8"/>
    <w:rsid w:val="00CA2575"/>
    <w:rsid w:val="00CA297C"/>
    <w:rsid w:val="00CA439D"/>
    <w:rsid w:val="00CA4FB0"/>
    <w:rsid w:val="00CB076D"/>
    <w:rsid w:val="00CB289A"/>
    <w:rsid w:val="00CB640A"/>
    <w:rsid w:val="00CB7C57"/>
    <w:rsid w:val="00CB7E09"/>
    <w:rsid w:val="00CC1C6E"/>
    <w:rsid w:val="00CC34EA"/>
    <w:rsid w:val="00CC36CF"/>
    <w:rsid w:val="00CC5D61"/>
    <w:rsid w:val="00CC6A60"/>
    <w:rsid w:val="00CC75EE"/>
    <w:rsid w:val="00CD07FE"/>
    <w:rsid w:val="00CD1BDB"/>
    <w:rsid w:val="00CD2C58"/>
    <w:rsid w:val="00CD462A"/>
    <w:rsid w:val="00CD6188"/>
    <w:rsid w:val="00CD620C"/>
    <w:rsid w:val="00CD685A"/>
    <w:rsid w:val="00CE0453"/>
    <w:rsid w:val="00CE1524"/>
    <w:rsid w:val="00CE18EE"/>
    <w:rsid w:val="00CE34C0"/>
    <w:rsid w:val="00CE390C"/>
    <w:rsid w:val="00CE3DB0"/>
    <w:rsid w:val="00CE445B"/>
    <w:rsid w:val="00CE4C58"/>
    <w:rsid w:val="00CE7A9C"/>
    <w:rsid w:val="00CF1273"/>
    <w:rsid w:val="00CF1E71"/>
    <w:rsid w:val="00CF54AE"/>
    <w:rsid w:val="00CF5854"/>
    <w:rsid w:val="00CF5E7D"/>
    <w:rsid w:val="00CF699D"/>
    <w:rsid w:val="00CF70FD"/>
    <w:rsid w:val="00D02A06"/>
    <w:rsid w:val="00D02E79"/>
    <w:rsid w:val="00D0445E"/>
    <w:rsid w:val="00D04EF9"/>
    <w:rsid w:val="00D05292"/>
    <w:rsid w:val="00D06E14"/>
    <w:rsid w:val="00D076C5"/>
    <w:rsid w:val="00D07C2C"/>
    <w:rsid w:val="00D10261"/>
    <w:rsid w:val="00D107DB"/>
    <w:rsid w:val="00D120A0"/>
    <w:rsid w:val="00D1439B"/>
    <w:rsid w:val="00D15C08"/>
    <w:rsid w:val="00D16E29"/>
    <w:rsid w:val="00D17037"/>
    <w:rsid w:val="00D17AAA"/>
    <w:rsid w:val="00D214A1"/>
    <w:rsid w:val="00D21DE4"/>
    <w:rsid w:val="00D23C05"/>
    <w:rsid w:val="00D25108"/>
    <w:rsid w:val="00D25269"/>
    <w:rsid w:val="00D26DCB"/>
    <w:rsid w:val="00D30752"/>
    <w:rsid w:val="00D32C3A"/>
    <w:rsid w:val="00D33C27"/>
    <w:rsid w:val="00D34952"/>
    <w:rsid w:val="00D35632"/>
    <w:rsid w:val="00D3573F"/>
    <w:rsid w:val="00D35C92"/>
    <w:rsid w:val="00D416C3"/>
    <w:rsid w:val="00D41755"/>
    <w:rsid w:val="00D4366F"/>
    <w:rsid w:val="00D4388A"/>
    <w:rsid w:val="00D43958"/>
    <w:rsid w:val="00D47C1C"/>
    <w:rsid w:val="00D517E0"/>
    <w:rsid w:val="00D51EA2"/>
    <w:rsid w:val="00D5227B"/>
    <w:rsid w:val="00D5233B"/>
    <w:rsid w:val="00D52AB3"/>
    <w:rsid w:val="00D555DE"/>
    <w:rsid w:val="00D55614"/>
    <w:rsid w:val="00D575FE"/>
    <w:rsid w:val="00D600C1"/>
    <w:rsid w:val="00D61B1F"/>
    <w:rsid w:val="00D622E6"/>
    <w:rsid w:val="00D6263E"/>
    <w:rsid w:val="00D63050"/>
    <w:rsid w:val="00D6411E"/>
    <w:rsid w:val="00D64CAB"/>
    <w:rsid w:val="00D6628A"/>
    <w:rsid w:val="00D709F0"/>
    <w:rsid w:val="00D73803"/>
    <w:rsid w:val="00D745AC"/>
    <w:rsid w:val="00D75A90"/>
    <w:rsid w:val="00D75E26"/>
    <w:rsid w:val="00D75FFC"/>
    <w:rsid w:val="00D76FC2"/>
    <w:rsid w:val="00D77EEC"/>
    <w:rsid w:val="00D811D8"/>
    <w:rsid w:val="00D8298F"/>
    <w:rsid w:val="00D84428"/>
    <w:rsid w:val="00D84F70"/>
    <w:rsid w:val="00D9524A"/>
    <w:rsid w:val="00DA1D2D"/>
    <w:rsid w:val="00DA4BD6"/>
    <w:rsid w:val="00DA7E39"/>
    <w:rsid w:val="00DB0693"/>
    <w:rsid w:val="00DB1C06"/>
    <w:rsid w:val="00DB3721"/>
    <w:rsid w:val="00DB4AB9"/>
    <w:rsid w:val="00DB5211"/>
    <w:rsid w:val="00DB6931"/>
    <w:rsid w:val="00DB6DBB"/>
    <w:rsid w:val="00DC04B6"/>
    <w:rsid w:val="00DC14BC"/>
    <w:rsid w:val="00DC196F"/>
    <w:rsid w:val="00DC1F20"/>
    <w:rsid w:val="00DC2E1E"/>
    <w:rsid w:val="00DC4240"/>
    <w:rsid w:val="00DC43D3"/>
    <w:rsid w:val="00DC51CF"/>
    <w:rsid w:val="00DC7D3D"/>
    <w:rsid w:val="00DD0B5D"/>
    <w:rsid w:val="00DD1E00"/>
    <w:rsid w:val="00DD3F05"/>
    <w:rsid w:val="00DD40A2"/>
    <w:rsid w:val="00DD46DE"/>
    <w:rsid w:val="00DD5E41"/>
    <w:rsid w:val="00DD7EE2"/>
    <w:rsid w:val="00DE12D6"/>
    <w:rsid w:val="00DE1734"/>
    <w:rsid w:val="00DE2ED9"/>
    <w:rsid w:val="00DE32D3"/>
    <w:rsid w:val="00DE4111"/>
    <w:rsid w:val="00DE4525"/>
    <w:rsid w:val="00DE725A"/>
    <w:rsid w:val="00DF0006"/>
    <w:rsid w:val="00DF0BEE"/>
    <w:rsid w:val="00DF16B8"/>
    <w:rsid w:val="00DF3311"/>
    <w:rsid w:val="00DF36FF"/>
    <w:rsid w:val="00DF7702"/>
    <w:rsid w:val="00E01035"/>
    <w:rsid w:val="00E0320F"/>
    <w:rsid w:val="00E03963"/>
    <w:rsid w:val="00E0589D"/>
    <w:rsid w:val="00E07852"/>
    <w:rsid w:val="00E07894"/>
    <w:rsid w:val="00E07EB0"/>
    <w:rsid w:val="00E07F7B"/>
    <w:rsid w:val="00E124A0"/>
    <w:rsid w:val="00E1439F"/>
    <w:rsid w:val="00E148AB"/>
    <w:rsid w:val="00E14FA8"/>
    <w:rsid w:val="00E1571B"/>
    <w:rsid w:val="00E15A8F"/>
    <w:rsid w:val="00E17FA2"/>
    <w:rsid w:val="00E2529F"/>
    <w:rsid w:val="00E272F1"/>
    <w:rsid w:val="00E314C8"/>
    <w:rsid w:val="00E317B2"/>
    <w:rsid w:val="00E31EE4"/>
    <w:rsid w:val="00E3254B"/>
    <w:rsid w:val="00E32798"/>
    <w:rsid w:val="00E32BCA"/>
    <w:rsid w:val="00E33963"/>
    <w:rsid w:val="00E36EFE"/>
    <w:rsid w:val="00E40DB0"/>
    <w:rsid w:val="00E44B25"/>
    <w:rsid w:val="00E45165"/>
    <w:rsid w:val="00E4545A"/>
    <w:rsid w:val="00E45BC8"/>
    <w:rsid w:val="00E50A92"/>
    <w:rsid w:val="00E51BD9"/>
    <w:rsid w:val="00E5255C"/>
    <w:rsid w:val="00E54A62"/>
    <w:rsid w:val="00E55251"/>
    <w:rsid w:val="00E55C28"/>
    <w:rsid w:val="00E56890"/>
    <w:rsid w:val="00E57FF3"/>
    <w:rsid w:val="00E61875"/>
    <w:rsid w:val="00E622AE"/>
    <w:rsid w:val="00E635AD"/>
    <w:rsid w:val="00E63742"/>
    <w:rsid w:val="00E6396E"/>
    <w:rsid w:val="00E64F9C"/>
    <w:rsid w:val="00E66A13"/>
    <w:rsid w:val="00E67105"/>
    <w:rsid w:val="00E67FB8"/>
    <w:rsid w:val="00E70799"/>
    <w:rsid w:val="00E72384"/>
    <w:rsid w:val="00E735C9"/>
    <w:rsid w:val="00E73C96"/>
    <w:rsid w:val="00E75B2F"/>
    <w:rsid w:val="00E761F9"/>
    <w:rsid w:val="00E76B06"/>
    <w:rsid w:val="00E7777B"/>
    <w:rsid w:val="00E77D9B"/>
    <w:rsid w:val="00E80B44"/>
    <w:rsid w:val="00E8137C"/>
    <w:rsid w:val="00E826AE"/>
    <w:rsid w:val="00E83A06"/>
    <w:rsid w:val="00E91345"/>
    <w:rsid w:val="00E931B1"/>
    <w:rsid w:val="00E93D52"/>
    <w:rsid w:val="00E9408B"/>
    <w:rsid w:val="00E94438"/>
    <w:rsid w:val="00E954FD"/>
    <w:rsid w:val="00E9568E"/>
    <w:rsid w:val="00E9697E"/>
    <w:rsid w:val="00EA461B"/>
    <w:rsid w:val="00EA50A2"/>
    <w:rsid w:val="00EA5B6C"/>
    <w:rsid w:val="00EA673C"/>
    <w:rsid w:val="00EA7824"/>
    <w:rsid w:val="00EB0236"/>
    <w:rsid w:val="00EB0CB1"/>
    <w:rsid w:val="00EB39EF"/>
    <w:rsid w:val="00EB54E5"/>
    <w:rsid w:val="00EB6765"/>
    <w:rsid w:val="00EC118F"/>
    <w:rsid w:val="00EC1648"/>
    <w:rsid w:val="00EC2686"/>
    <w:rsid w:val="00EC293E"/>
    <w:rsid w:val="00EC44F1"/>
    <w:rsid w:val="00EC4A69"/>
    <w:rsid w:val="00EC5CA4"/>
    <w:rsid w:val="00EC6638"/>
    <w:rsid w:val="00EC6763"/>
    <w:rsid w:val="00EC6F1F"/>
    <w:rsid w:val="00ED0C61"/>
    <w:rsid w:val="00ED2DB7"/>
    <w:rsid w:val="00ED2F64"/>
    <w:rsid w:val="00EE31D0"/>
    <w:rsid w:val="00EE636B"/>
    <w:rsid w:val="00EE691F"/>
    <w:rsid w:val="00EE6F8F"/>
    <w:rsid w:val="00EE7A20"/>
    <w:rsid w:val="00EF0AC8"/>
    <w:rsid w:val="00EF28A8"/>
    <w:rsid w:val="00EF5091"/>
    <w:rsid w:val="00EF60AB"/>
    <w:rsid w:val="00EF73AF"/>
    <w:rsid w:val="00F02CAF"/>
    <w:rsid w:val="00F02DF6"/>
    <w:rsid w:val="00F0311D"/>
    <w:rsid w:val="00F03767"/>
    <w:rsid w:val="00F04DF7"/>
    <w:rsid w:val="00F063D8"/>
    <w:rsid w:val="00F06D99"/>
    <w:rsid w:val="00F10010"/>
    <w:rsid w:val="00F10940"/>
    <w:rsid w:val="00F10E4B"/>
    <w:rsid w:val="00F11E40"/>
    <w:rsid w:val="00F12195"/>
    <w:rsid w:val="00F12852"/>
    <w:rsid w:val="00F12897"/>
    <w:rsid w:val="00F158DF"/>
    <w:rsid w:val="00F166DB"/>
    <w:rsid w:val="00F16D24"/>
    <w:rsid w:val="00F23E17"/>
    <w:rsid w:val="00F263BE"/>
    <w:rsid w:val="00F263D2"/>
    <w:rsid w:val="00F270F0"/>
    <w:rsid w:val="00F27FC1"/>
    <w:rsid w:val="00F30119"/>
    <w:rsid w:val="00F323C6"/>
    <w:rsid w:val="00F32845"/>
    <w:rsid w:val="00F3300E"/>
    <w:rsid w:val="00F33189"/>
    <w:rsid w:val="00F33407"/>
    <w:rsid w:val="00F35629"/>
    <w:rsid w:val="00F375AE"/>
    <w:rsid w:val="00F40B5B"/>
    <w:rsid w:val="00F41CFB"/>
    <w:rsid w:val="00F43922"/>
    <w:rsid w:val="00F44F09"/>
    <w:rsid w:val="00F472E2"/>
    <w:rsid w:val="00F47365"/>
    <w:rsid w:val="00F478EF"/>
    <w:rsid w:val="00F50339"/>
    <w:rsid w:val="00F503B0"/>
    <w:rsid w:val="00F50DF6"/>
    <w:rsid w:val="00F51454"/>
    <w:rsid w:val="00F52A38"/>
    <w:rsid w:val="00F536FB"/>
    <w:rsid w:val="00F56B44"/>
    <w:rsid w:val="00F56D49"/>
    <w:rsid w:val="00F61067"/>
    <w:rsid w:val="00F632CC"/>
    <w:rsid w:val="00F63359"/>
    <w:rsid w:val="00F641C1"/>
    <w:rsid w:val="00F651A3"/>
    <w:rsid w:val="00F66CF3"/>
    <w:rsid w:val="00F7104E"/>
    <w:rsid w:val="00F712E5"/>
    <w:rsid w:val="00F73572"/>
    <w:rsid w:val="00F758C7"/>
    <w:rsid w:val="00F7646F"/>
    <w:rsid w:val="00F7740E"/>
    <w:rsid w:val="00F779FB"/>
    <w:rsid w:val="00F82196"/>
    <w:rsid w:val="00F82527"/>
    <w:rsid w:val="00F82828"/>
    <w:rsid w:val="00F8534C"/>
    <w:rsid w:val="00F85E63"/>
    <w:rsid w:val="00F866BF"/>
    <w:rsid w:val="00F90D4C"/>
    <w:rsid w:val="00F92E84"/>
    <w:rsid w:val="00F9347E"/>
    <w:rsid w:val="00F93AF0"/>
    <w:rsid w:val="00F94A1B"/>
    <w:rsid w:val="00F95CAC"/>
    <w:rsid w:val="00F9757F"/>
    <w:rsid w:val="00FA1445"/>
    <w:rsid w:val="00FA63B0"/>
    <w:rsid w:val="00FA696B"/>
    <w:rsid w:val="00FA75A1"/>
    <w:rsid w:val="00FB1FB7"/>
    <w:rsid w:val="00FB2439"/>
    <w:rsid w:val="00FB4194"/>
    <w:rsid w:val="00FB549F"/>
    <w:rsid w:val="00FC03A2"/>
    <w:rsid w:val="00FC2979"/>
    <w:rsid w:val="00FC2A7A"/>
    <w:rsid w:val="00FC6A75"/>
    <w:rsid w:val="00FC7B07"/>
    <w:rsid w:val="00FC7B2E"/>
    <w:rsid w:val="00FD03D7"/>
    <w:rsid w:val="00FD09B3"/>
    <w:rsid w:val="00FD1608"/>
    <w:rsid w:val="00FD3A57"/>
    <w:rsid w:val="00FD42D7"/>
    <w:rsid w:val="00FD662C"/>
    <w:rsid w:val="00FE0CC2"/>
    <w:rsid w:val="00FE3196"/>
    <w:rsid w:val="00FE5921"/>
    <w:rsid w:val="00FE656D"/>
    <w:rsid w:val="00FE6E35"/>
    <w:rsid w:val="00FE7CAC"/>
    <w:rsid w:val="00FF07B5"/>
    <w:rsid w:val="00FF295B"/>
    <w:rsid w:val="00FF2D91"/>
    <w:rsid w:val="00FF3EFB"/>
    <w:rsid w:val="00FF5CC4"/>
    <w:rsid w:val="00FF66CF"/>
    <w:rsid w:val="00FF7D5E"/>
    <w:rsid w:val="011D61A5"/>
    <w:rsid w:val="01365E96"/>
    <w:rsid w:val="01536C04"/>
    <w:rsid w:val="016E397E"/>
    <w:rsid w:val="018C519F"/>
    <w:rsid w:val="018F2EE2"/>
    <w:rsid w:val="01A47E7F"/>
    <w:rsid w:val="01A83585"/>
    <w:rsid w:val="01E7100D"/>
    <w:rsid w:val="01E80D35"/>
    <w:rsid w:val="02216A4F"/>
    <w:rsid w:val="02390BD7"/>
    <w:rsid w:val="026279D1"/>
    <w:rsid w:val="027A1ADF"/>
    <w:rsid w:val="027F2837"/>
    <w:rsid w:val="0289213E"/>
    <w:rsid w:val="029527B8"/>
    <w:rsid w:val="0296465F"/>
    <w:rsid w:val="02975F35"/>
    <w:rsid w:val="02CB7F49"/>
    <w:rsid w:val="02F20DA8"/>
    <w:rsid w:val="03192DEF"/>
    <w:rsid w:val="03197AC1"/>
    <w:rsid w:val="031E0D32"/>
    <w:rsid w:val="032500F4"/>
    <w:rsid w:val="03725DC6"/>
    <w:rsid w:val="03B41004"/>
    <w:rsid w:val="03D15D24"/>
    <w:rsid w:val="03F97DC2"/>
    <w:rsid w:val="03FC1BE8"/>
    <w:rsid w:val="04687485"/>
    <w:rsid w:val="047C3004"/>
    <w:rsid w:val="04A26113"/>
    <w:rsid w:val="04D07A99"/>
    <w:rsid w:val="04DC0C7B"/>
    <w:rsid w:val="04E3276D"/>
    <w:rsid w:val="04FB2EDE"/>
    <w:rsid w:val="05465FAD"/>
    <w:rsid w:val="05506598"/>
    <w:rsid w:val="058C2966"/>
    <w:rsid w:val="05DB2CA8"/>
    <w:rsid w:val="062E4457"/>
    <w:rsid w:val="067E0F91"/>
    <w:rsid w:val="06830BB9"/>
    <w:rsid w:val="069965C3"/>
    <w:rsid w:val="06A25465"/>
    <w:rsid w:val="06AC6DEE"/>
    <w:rsid w:val="06CB676A"/>
    <w:rsid w:val="070C28DE"/>
    <w:rsid w:val="0782097B"/>
    <w:rsid w:val="07A91DF1"/>
    <w:rsid w:val="07B475C3"/>
    <w:rsid w:val="07BB77DC"/>
    <w:rsid w:val="07CA323C"/>
    <w:rsid w:val="07DB7212"/>
    <w:rsid w:val="08055F11"/>
    <w:rsid w:val="08084C21"/>
    <w:rsid w:val="08116EF7"/>
    <w:rsid w:val="081A491F"/>
    <w:rsid w:val="083856C7"/>
    <w:rsid w:val="089054B6"/>
    <w:rsid w:val="08D13648"/>
    <w:rsid w:val="08E2495F"/>
    <w:rsid w:val="08EB4EA1"/>
    <w:rsid w:val="08EF4BBA"/>
    <w:rsid w:val="08FB58FA"/>
    <w:rsid w:val="093B6EF3"/>
    <w:rsid w:val="099E397D"/>
    <w:rsid w:val="09DA033B"/>
    <w:rsid w:val="09FA7F9E"/>
    <w:rsid w:val="0A095C6D"/>
    <w:rsid w:val="0AB359F5"/>
    <w:rsid w:val="0AD83E5F"/>
    <w:rsid w:val="0AED37DD"/>
    <w:rsid w:val="0AF7574D"/>
    <w:rsid w:val="0B212DFC"/>
    <w:rsid w:val="0B280639"/>
    <w:rsid w:val="0B60541C"/>
    <w:rsid w:val="0BA84FF8"/>
    <w:rsid w:val="0BAC4233"/>
    <w:rsid w:val="0BCF164A"/>
    <w:rsid w:val="0C1B2B7C"/>
    <w:rsid w:val="0C233483"/>
    <w:rsid w:val="0C4B50BE"/>
    <w:rsid w:val="0CB8153E"/>
    <w:rsid w:val="0CCA507E"/>
    <w:rsid w:val="0CD2098A"/>
    <w:rsid w:val="0CDA49DD"/>
    <w:rsid w:val="0D1E2492"/>
    <w:rsid w:val="0D3F57BC"/>
    <w:rsid w:val="0D467CAC"/>
    <w:rsid w:val="0E0C1671"/>
    <w:rsid w:val="0E487BFD"/>
    <w:rsid w:val="0E543C3C"/>
    <w:rsid w:val="0E8536A2"/>
    <w:rsid w:val="0EC71E62"/>
    <w:rsid w:val="0ED42FC7"/>
    <w:rsid w:val="0EDD528C"/>
    <w:rsid w:val="0F155843"/>
    <w:rsid w:val="0F210FF4"/>
    <w:rsid w:val="0F5D465C"/>
    <w:rsid w:val="0F8743BB"/>
    <w:rsid w:val="0FF44077"/>
    <w:rsid w:val="10007D5F"/>
    <w:rsid w:val="101E3DAE"/>
    <w:rsid w:val="106E19AB"/>
    <w:rsid w:val="107E03A8"/>
    <w:rsid w:val="108300B5"/>
    <w:rsid w:val="1083019C"/>
    <w:rsid w:val="109A5265"/>
    <w:rsid w:val="10C31FC5"/>
    <w:rsid w:val="10E2555A"/>
    <w:rsid w:val="110B1CFF"/>
    <w:rsid w:val="111A387F"/>
    <w:rsid w:val="11417CED"/>
    <w:rsid w:val="115B561B"/>
    <w:rsid w:val="116E2368"/>
    <w:rsid w:val="11742E6D"/>
    <w:rsid w:val="118F6A57"/>
    <w:rsid w:val="11CA23FA"/>
    <w:rsid w:val="122406B5"/>
    <w:rsid w:val="126414AB"/>
    <w:rsid w:val="12927E31"/>
    <w:rsid w:val="12BD199A"/>
    <w:rsid w:val="12FE0CE5"/>
    <w:rsid w:val="131C20FB"/>
    <w:rsid w:val="13206DA6"/>
    <w:rsid w:val="135752E1"/>
    <w:rsid w:val="135A5540"/>
    <w:rsid w:val="13C11A4C"/>
    <w:rsid w:val="13FE6C28"/>
    <w:rsid w:val="14111F3F"/>
    <w:rsid w:val="14126FA2"/>
    <w:rsid w:val="14461CCF"/>
    <w:rsid w:val="144C7A29"/>
    <w:rsid w:val="146C0261"/>
    <w:rsid w:val="146E45E8"/>
    <w:rsid w:val="14BE3AC3"/>
    <w:rsid w:val="150E49F2"/>
    <w:rsid w:val="15590566"/>
    <w:rsid w:val="158C3D85"/>
    <w:rsid w:val="15B567FA"/>
    <w:rsid w:val="160462D5"/>
    <w:rsid w:val="160475A2"/>
    <w:rsid w:val="161B5534"/>
    <w:rsid w:val="16300A1D"/>
    <w:rsid w:val="164B3A9C"/>
    <w:rsid w:val="165204D8"/>
    <w:rsid w:val="1683496B"/>
    <w:rsid w:val="168C721D"/>
    <w:rsid w:val="169326D4"/>
    <w:rsid w:val="16A5218F"/>
    <w:rsid w:val="16B72FA4"/>
    <w:rsid w:val="16C83F1E"/>
    <w:rsid w:val="16C9600C"/>
    <w:rsid w:val="16D70EC2"/>
    <w:rsid w:val="16DE7DF3"/>
    <w:rsid w:val="16EF6D37"/>
    <w:rsid w:val="170822DE"/>
    <w:rsid w:val="171A66DB"/>
    <w:rsid w:val="175208EC"/>
    <w:rsid w:val="17BF43A0"/>
    <w:rsid w:val="18137521"/>
    <w:rsid w:val="183109F9"/>
    <w:rsid w:val="183121A5"/>
    <w:rsid w:val="18692C9E"/>
    <w:rsid w:val="188A0032"/>
    <w:rsid w:val="18AA4CB3"/>
    <w:rsid w:val="18AD4FDC"/>
    <w:rsid w:val="18F620F5"/>
    <w:rsid w:val="192625E1"/>
    <w:rsid w:val="19561E5D"/>
    <w:rsid w:val="19633AA3"/>
    <w:rsid w:val="196653B5"/>
    <w:rsid w:val="19E01367"/>
    <w:rsid w:val="19EE2A43"/>
    <w:rsid w:val="1A2D6E0B"/>
    <w:rsid w:val="1A5065A0"/>
    <w:rsid w:val="1A6B6628"/>
    <w:rsid w:val="1A763B55"/>
    <w:rsid w:val="1A872473"/>
    <w:rsid w:val="1A951111"/>
    <w:rsid w:val="1AB32DD8"/>
    <w:rsid w:val="1ABE5018"/>
    <w:rsid w:val="1AC178F6"/>
    <w:rsid w:val="1AD05CA5"/>
    <w:rsid w:val="1AD2706C"/>
    <w:rsid w:val="1AE22162"/>
    <w:rsid w:val="1AE91876"/>
    <w:rsid w:val="1AF42F6B"/>
    <w:rsid w:val="1B507898"/>
    <w:rsid w:val="1B6459D4"/>
    <w:rsid w:val="1B7721AF"/>
    <w:rsid w:val="1BB35A2E"/>
    <w:rsid w:val="1BC358B0"/>
    <w:rsid w:val="1BE14409"/>
    <w:rsid w:val="1BE30F9C"/>
    <w:rsid w:val="1C342B90"/>
    <w:rsid w:val="1C64016F"/>
    <w:rsid w:val="1C8550E9"/>
    <w:rsid w:val="1C895B57"/>
    <w:rsid w:val="1CA87CF6"/>
    <w:rsid w:val="1CB35567"/>
    <w:rsid w:val="1CFD7C2F"/>
    <w:rsid w:val="1D067F21"/>
    <w:rsid w:val="1D1208FF"/>
    <w:rsid w:val="1D13730F"/>
    <w:rsid w:val="1D1E53EE"/>
    <w:rsid w:val="1D3F35B6"/>
    <w:rsid w:val="1D3F3FE6"/>
    <w:rsid w:val="1D552DD9"/>
    <w:rsid w:val="1D6406A7"/>
    <w:rsid w:val="1D9466A3"/>
    <w:rsid w:val="1DA06F6D"/>
    <w:rsid w:val="1DE213DB"/>
    <w:rsid w:val="1E1260A9"/>
    <w:rsid w:val="1E3826D3"/>
    <w:rsid w:val="1EAD2E5C"/>
    <w:rsid w:val="1EC66F50"/>
    <w:rsid w:val="1ED45538"/>
    <w:rsid w:val="1EED2171"/>
    <w:rsid w:val="1F1D577D"/>
    <w:rsid w:val="1F490F81"/>
    <w:rsid w:val="1F5D0E62"/>
    <w:rsid w:val="1F866CB8"/>
    <w:rsid w:val="1FBC756F"/>
    <w:rsid w:val="20112793"/>
    <w:rsid w:val="202D2122"/>
    <w:rsid w:val="20425182"/>
    <w:rsid w:val="20621FA8"/>
    <w:rsid w:val="207512A9"/>
    <w:rsid w:val="20AA343C"/>
    <w:rsid w:val="20BB72BF"/>
    <w:rsid w:val="20BE6B16"/>
    <w:rsid w:val="20E16B13"/>
    <w:rsid w:val="2116462E"/>
    <w:rsid w:val="21246E75"/>
    <w:rsid w:val="21294361"/>
    <w:rsid w:val="21694304"/>
    <w:rsid w:val="21EA0D9B"/>
    <w:rsid w:val="21EB5ABA"/>
    <w:rsid w:val="21FC1A76"/>
    <w:rsid w:val="21FF4576"/>
    <w:rsid w:val="22175CB2"/>
    <w:rsid w:val="22225160"/>
    <w:rsid w:val="227C4964"/>
    <w:rsid w:val="22802B69"/>
    <w:rsid w:val="22C479EA"/>
    <w:rsid w:val="23151041"/>
    <w:rsid w:val="2360283F"/>
    <w:rsid w:val="236351E0"/>
    <w:rsid w:val="23663B61"/>
    <w:rsid w:val="23B50BE8"/>
    <w:rsid w:val="23D35D9C"/>
    <w:rsid w:val="245E5E5B"/>
    <w:rsid w:val="24743402"/>
    <w:rsid w:val="24864BD8"/>
    <w:rsid w:val="248A15BB"/>
    <w:rsid w:val="24A7216D"/>
    <w:rsid w:val="24BA4A50"/>
    <w:rsid w:val="24E52C95"/>
    <w:rsid w:val="252F09F2"/>
    <w:rsid w:val="255E5C10"/>
    <w:rsid w:val="256B0009"/>
    <w:rsid w:val="25891872"/>
    <w:rsid w:val="25D23146"/>
    <w:rsid w:val="260525BD"/>
    <w:rsid w:val="261168F4"/>
    <w:rsid w:val="262512EB"/>
    <w:rsid w:val="262548C3"/>
    <w:rsid w:val="263527F3"/>
    <w:rsid w:val="26461FD3"/>
    <w:rsid w:val="264E2403"/>
    <w:rsid w:val="26794C63"/>
    <w:rsid w:val="26845EBC"/>
    <w:rsid w:val="26BB3109"/>
    <w:rsid w:val="26F51B74"/>
    <w:rsid w:val="271156C4"/>
    <w:rsid w:val="27192442"/>
    <w:rsid w:val="271D62DD"/>
    <w:rsid w:val="273866BB"/>
    <w:rsid w:val="27693709"/>
    <w:rsid w:val="279D6070"/>
    <w:rsid w:val="27B0758A"/>
    <w:rsid w:val="27B96445"/>
    <w:rsid w:val="27BE608F"/>
    <w:rsid w:val="27D72D69"/>
    <w:rsid w:val="27E0707C"/>
    <w:rsid w:val="27F136FF"/>
    <w:rsid w:val="280671AA"/>
    <w:rsid w:val="282E55C6"/>
    <w:rsid w:val="282E6701"/>
    <w:rsid w:val="28327F9F"/>
    <w:rsid w:val="285C7C97"/>
    <w:rsid w:val="286F4AFD"/>
    <w:rsid w:val="28851971"/>
    <w:rsid w:val="290E3209"/>
    <w:rsid w:val="292A04CF"/>
    <w:rsid w:val="293B5DEE"/>
    <w:rsid w:val="295B36A3"/>
    <w:rsid w:val="295E62EF"/>
    <w:rsid w:val="295F1FF3"/>
    <w:rsid w:val="29700AA7"/>
    <w:rsid w:val="298E1834"/>
    <w:rsid w:val="29B04B5A"/>
    <w:rsid w:val="29B52D90"/>
    <w:rsid w:val="29C006E7"/>
    <w:rsid w:val="2A0235B8"/>
    <w:rsid w:val="2A275002"/>
    <w:rsid w:val="2A8C432E"/>
    <w:rsid w:val="2AAF1C76"/>
    <w:rsid w:val="2ADA0435"/>
    <w:rsid w:val="2B1B5950"/>
    <w:rsid w:val="2B1D4E35"/>
    <w:rsid w:val="2B2B0339"/>
    <w:rsid w:val="2BAB4F7A"/>
    <w:rsid w:val="2BBC0485"/>
    <w:rsid w:val="2BD40E50"/>
    <w:rsid w:val="2BD57E8F"/>
    <w:rsid w:val="2BEF4305"/>
    <w:rsid w:val="2BF17A3D"/>
    <w:rsid w:val="2C013FD0"/>
    <w:rsid w:val="2C7B5A52"/>
    <w:rsid w:val="2C997182"/>
    <w:rsid w:val="2CC6342E"/>
    <w:rsid w:val="2CD574E1"/>
    <w:rsid w:val="2CD90E1A"/>
    <w:rsid w:val="2CFB3C09"/>
    <w:rsid w:val="2D031F0A"/>
    <w:rsid w:val="2D111B87"/>
    <w:rsid w:val="2D16177F"/>
    <w:rsid w:val="2D2D5352"/>
    <w:rsid w:val="2D6C54EF"/>
    <w:rsid w:val="2D731DCC"/>
    <w:rsid w:val="2D832ECD"/>
    <w:rsid w:val="2DA1744F"/>
    <w:rsid w:val="2DB40CBA"/>
    <w:rsid w:val="2DC1092F"/>
    <w:rsid w:val="2DE51610"/>
    <w:rsid w:val="2DFB52D7"/>
    <w:rsid w:val="2E1E05BE"/>
    <w:rsid w:val="2E225959"/>
    <w:rsid w:val="2E2907F8"/>
    <w:rsid w:val="2E482C61"/>
    <w:rsid w:val="2E565E43"/>
    <w:rsid w:val="2E632B2F"/>
    <w:rsid w:val="2E666BF4"/>
    <w:rsid w:val="2E840E29"/>
    <w:rsid w:val="2E8D4195"/>
    <w:rsid w:val="2EC15B9D"/>
    <w:rsid w:val="2EE25634"/>
    <w:rsid w:val="2EE53A5B"/>
    <w:rsid w:val="2EE83FD7"/>
    <w:rsid w:val="2F0A350C"/>
    <w:rsid w:val="2F116D11"/>
    <w:rsid w:val="2F446476"/>
    <w:rsid w:val="2F7C5F17"/>
    <w:rsid w:val="2FAC3E87"/>
    <w:rsid w:val="2FCE181E"/>
    <w:rsid w:val="2FD64A1F"/>
    <w:rsid w:val="2FD67793"/>
    <w:rsid w:val="2FE04F8F"/>
    <w:rsid w:val="2FE43A28"/>
    <w:rsid w:val="2FFC18A5"/>
    <w:rsid w:val="303A6809"/>
    <w:rsid w:val="308308A3"/>
    <w:rsid w:val="308B2942"/>
    <w:rsid w:val="309450FB"/>
    <w:rsid w:val="30B835DF"/>
    <w:rsid w:val="312A215B"/>
    <w:rsid w:val="314A0359"/>
    <w:rsid w:val="317612EC"/>
    <w:rsid w:val="317D4555"/>
    <w:rsid w:val="319F4219"/>
    <w:rsid w:val="31A045BD"/>
    <w:rsid w:val="31A91067"/>
    <w:rsid w:val="31D75713"/>
    <w:rsid w:val="31F10071"/>
    <w:rsid w:val="31F47897"/>
    <w:rsid w:val="32222E32"/>
    <w:rsid w:val="324B7A22"/>
    <w:rsid w:val="326A236E"/>
    <w:rsid w:val="327E358E"/>
    <w:rsid w:val="32A30B65"/>
    <w:rsid w:val="32CC2B6F"/>
    <w:rsid w:val="32DA1270"/>
    <w:rsid w:val="335A36D6"/>
    <w:rsid w:val="33A53B36"/>
    <w:rsid w:val="33DA661B"/>
    <w:rsid w:val="34142C4F"/>
    <w:rsid w:val="34212579"/>
    <w:rsid w:val="342B63FA"/>
    <w:rsid w:val="346314E0"/>
    <w:rsid w:val="34644B9F"/>
    <w:rsid w:val="34673B6C"/>
    <w:rsid w:val="34705603"/>
    <w:rsid w:val="349135A8"/>
    <w:rsid w:val="34B2744C"/>
    <w:rsid w:val="34B63987"/>
    <w:rsid w:val="34E344A0"/>
    <w:rsid w:val="350E3010"/>
    <w:rsid w:val="35316737"/>
    <w:rsid w:val="355C15E9"/>
    <w:rsid w:val="35D9501F"/>
    <w:rsid w:val="35F67D33"/>
    <w:rsid w:val="35F762BA"/>
    <w:rsid w:val="365F4281"/>
    <w:rsid w:val="36662408"/>
    <w:rsid w:val="36675810"/>
    <w:rsid w:val="366A7C26"/>
    <w:rsid w:val="36772F95"/>
    <w:rsid w:val="367912A9"/>
    <w:rsid w:val="36D861B6"/>
    <w:rsid w:val="3715609B"/>
    <w:rsid w:val="37366D5D"/>
    <w:rsid w:val="37473D5F"/>
    <w:rsid w:val="374D0D52"/>
    <w:rsid w:val="376372C3"/>
    <w:rsid w:val="37AB713F"/>
    <w:rsid w:val="37E26009"/>
    <w:rsid w:val="37ED5E61"/>
    <w:rsid w:val="37FE5155"/>
    <w:rsid w:val="385773B9"/>
    <w:rsid w:val="386A2E83"/>
    <w:rsid w:val="386C3D79"/>
    <w:rsid w:val="3871473E"/>
    <w:rsid w:val="388B45C8"/>
    <w:rsid w:val="388E2FC9"/>
    <w:rsid w:val="38B458D8"/>
    <w:rsid w:val="38EB387F"/>
    <w:rsid w:val="39324153"/>
    <w:rsid w:val="395D58DC"/>
    <w:rsid w:val="39613A37"/>
    <w:rsid w:val="39650735"/>
    <w:rsid w:val="39983738"/>
    <w:rsid w:val="39995ABD"/>
    <w:rsid w:val="399F6361"/>
    <w:rsid w:val="39A93E39"/>
    <w:rsid w:val="3A0B59D9"/>
    <w:rsid w:val="3A3A3505"/>
    <w:rsid w:val="3A61574A"/>
    <w:rsid w:val="3A7626B8"/>
    <w:rsid w:val="3A9C2E95"/>
    <w:rsid w:val="3AB5142D"/>
    <w:rsid w:val="3AB6599D"/>
    <w:rsid w:val="3AD65AD1"/>
    <w:rsid w:val="3AD955BE"/>
    <w:rsid w:val="3AE47AEB"/>
    <w:rsid w:val="3B2373E9"/>
    <w:rsid w:val="3B337CE2"/>
    <w:rsid w:val="3B3A17B8"/>
    <w:rsid w:val="3B435725"/>
    <w:rsid w:val="3B45306E"/>
    <w:rsid w:val="3B4851F7"/>
    <w:rsid w:val="3B5924F9"/>
    <w:rsid w:val="3BBF7D0F"/>
    <w:rsid w:val="3BE15A17"/>
    <w:rsid w:val="3BF64081"/>
    <w:rsid w:val="3C084250"/>
    <w:rsid w:val="3C2519A1"/>
    <w:rsid w:val="3C481956"/>
    <w:rsid w:val="3C492059"/>
    <w:rsid w:val="3C4D6CFE"/>
    <w:rsid w:val="3C7A06D3"/>
    <w:rsid w:val="3C7E335B"/>
    <w:rsid w:val="3CB1628B"/>
    <w:rsid w:val="3CB735E6"/>
    <w:rsid w:val="3CC01097"/>
    <w:rsid w:val="3CE2161D"/>
    <w:rsid w:val="3CEC2D13"/>
    <w:rsid w:val="3D231918"/>
    <w:rsid w:val="3D5358CC"/>
    <w:rsid w:val="3D735C20"/>
    <w:rsid w:val="3D8F702F"/>
    <w:rsid w:val="3D952717"/>
    <w:rsid w:val="3D9E34EE"/>
    <w:rsid w:val="3D9F5E73"/>
    <w:rsid w:val="3DAE6E96"/>
    <w:rsid w:val="3DDB1614"/>
    <w:rsid w:val="3DF464F9"/>
    <w:rsid w:val="3E2E5F95"/>
    <w:rsid w:val="3E604A0B"/>
    <w:rsid w:val="3E954D2F"/>
    <w:rsid w:val="3E981CF1"/>
    <w:rsid w:val="3EC47E0F"/>
    <w:rsid w:val="3ED270EB"/>
    <w:rsid w:val="3EF43B41"/>
    <w:rsid w:val="3F1E251B"/>
    <w:rsid w:val="3F43115D"/>
    <w:rsid w:val="3F463BE3"/>
    <w:rsid w:val="3F5D7D53"/>
    <w:rsid w:val="3F8C5D9C"/>
    <w:rsid w:val="3FA962E7"/>
    <w:rsid w:val="3FE63B40"/>
    <w:rsid w:val="40351177"/>
    <w:rsid w:val="404C07D5"/>
    <w:rsid w:val="40597A43"/>
    <w:rsid w:val="408169FB"/>
    <w:rsid w:val="40A116A5"/>
    <w:rsid w:val="40C415D6"/>
    <w:rsid w:val="40DD2B3F"/>
    <w:rsid w:val="40EB7195"/>
    <w:rsid w:val="41122692"/>
    <w:rsid w:val="4135614B"/>
    <w:rsid w:val="41620930"/>
    <w:rsid w:val="41822A76"/>
    <w:rsid w:val="419F5581"/>
    <w:rsid w:val="41BC260E"/>
    <w:rsid w:val="41C519E2"/>
    <w:rsid w:val="41D103D1"/>
    <w:rsid w:val="41DC27B7"/>
    <w:rsid w:val="421028D5"/>
    <w:rsid w:val="421A0B83"/>
    <w:rsid w:val="422956B5"/>
    <w:rsid w:val="427503F6"/>
    <w:rsid w:val="42942E82"/>
    <w:rsid w:val="42B00D49"/>
    <w:rsid w:val="42B26726"/>
    <w:rsid w:val="42BB1A1E"/>
    <w:rsid w:val="42DE1E20"/>
    <w:rsid w:val="431E39BB"/>
    <w:rsid w:val="432144ED"/>
    <w:rsid w:val="4359149C"/>
    <w:rsid w:val="43B96DCB"/>
    <w:rsid w:val="43EE21E4"/>
    <w:rsid w:val="43EE391D"/>
    <w:rsid w:val="443B5939"/>
    <w:rsid w:val="44904255"/>
    <w:rsid w:val="449869C9"/>
    <w:rsid w:val="44E563AC"/>
    <w:rsid w:val="44E64079"/>
    <w:rsid w:val="455E01CE"/>
    <w:rsid w:val="456A73C9"/>
    <w:rsid w:val="45A52E33"/>
    <w:rsid w:val="45CA0404"/>
    <w:rsid w:val="45D84ED1"/>
    <w:rsid w:val="45DE2500"/>
    <w:rsid w:val="460D08DD"/>
    <w:rsid w:val="461D1E37"/>
    <w:rsid w:val="4638015D"/>
    <w:rsid w:val="464B69A4"/>
    <w:rsid w:val="466E4725"/>
    <w:rsid w:val="46994E1E"/>
    <w:rsid w:val="47083327"/>
    <w:rsid w:val="471561DE"/>
    <w:rsid w:val="47234E91"/>
    <w:rsid w:val="473F527D"/>
    <w:rsid w:val="475F2287"/>
    <w:rsid w:val="477039A6"/>
    <w:rsid w:val="47714223"/>
    <w:rsid w:val="478168A2"/>
    <w:rsid w:val="47905E42"/>
    <w:rsid w:val="47FB1A2B"/>
    <w:rsid w:val="48191CDD"/>
    <w:rsid w:val="48231CC8"/>
    <w:rsid w:val="487A16E3"/>
    <w:rsid w:val="48AC6024"/>
    <w:rsid w:val="48CE53BF"/>
    <w:rsid w:val="48F131B5"/>
    <w:rsid w:val="49042D03"/>
    <w:rsid w:val="49431E2F"/>
    <w:rsid w:val="49696D57"/>
    <w:rsid w:val="498141AF"/>
    <w:rsid w:val="498C23BC"/>
    <w:rsid w:val="49926698"/>
    <w:rsid w:val="49DE2075"/>
    <w:rsid w:val="49EF53B7"/>
    <w:rsid w:val="4A027109"/>
    <w:rsid w:val="4A291255"/>
    <w:rsid w:val="4A457062"/>
    <w:rsid w:val="4A51346C"/>
    <w:rsid w:val="4A513E5D"/>
    <w:rsid w:val="4A51794A"/>
    <w:rsid w:val="4AAF0FD0"/>
    <w:rsid w:val="4B93027E"/>
    <w:rsid w:val="4BAE14B6"/>
    <w:rsid w:val="4BD430EC"/>
    <w:rsid w:val="4BD853CE"/>
    <w:rsid w:val="4BF44CCD"/>
    <w:rsid w:val="4BFF275D"/>
    <w:rsid w:val="4C0F4516"/>
    <w:rsid w:val="4C2D0E76"/>
    <w:rsid w:val="4C2F67FA"/>
    <w:rsid w:val="4CB42A99"/>
    <w:rsid w:val="4CC3411C"/>
    <w:rsid w:val="4CC763EC"/>
    <w:rsid w:val="4CDB6283"/>
    <w:rsid w:val="4CDB6BB3"/>
    <w:rsid w:val="4CE90664"/>
    <w:rsid w:val="4D08552B"/>
    <w:rsid w:val="4D267823"/>
    <w:rsid w:val="4D5129AA"/>
    <w:rsid w:val="4D8B3C66"/>
    <w:rsid w:val="4DD61AF5"/>
    <w:rsid w:val="4DDF79D2"/>
    <w:rsid w:val="4E0403D5"/>
    <w:rsid w:val="4E073E74"/>
    <w:rsid w:val="4E3E255B"/>
    <w:rsid w:val="4E47691C"/>
    <w:rsid w:val="4EA113AE"/>
    <w:rsid w:val="4EB73525"/>
    <w:rsid w:val="4EE30EC1"/>
    <w:rsid w:val="4F234892"/>
    <w:rsid w:val="4F2839DD"/>
    <w:rsid w:val="4F83422C"/>
    <w:rsid w:val="4F8A08C2"/>
    <w:rsid w:val="4FD8619F"/>
    <w:rsid w:val="5005343E"/>
    <w:rsid w:val="501B2FD5"/>
    <w:rsid w:val="5049423A"/>
    <w:rsid w:val="507744C9"/>
    <w:rsid w:val="50791229"/>
    <w:rsid w:val="50810590"/>
    <w:rsid w:val="508677DA"/>
    <w:rsid w:val="50B376A6"/>
    <w:rsid w:val="50BE76E5"/>
    <w:rsid w:val="510065DD"/>
    <w:rsid w:val="513F7105"/>
    <w:rsid w:val="514819CA"/>
    <w:rsid w:val="515D7475"/>
    <w:rsid w:val="516E597B"/>
    <w:rsid w:val="517C45F8"/>
    <w:rsid w:val="523D0686"/>
    <w:rsid w:val="529565C8"/>
    <w:rsid w:val="52B07304"/>
    <w:rsid w:val="52E731E8"/>
    <w:rsid w:val="536A0335"/>
    <w:rsid w:val="536B7398"/>
    <w:rsid w:val="537961D3"/>
    <w:rsid w:val="539F20DD"/>
    <w:rsid w:val="53FB117C"/>
    <w:rsid w:val="540B32CF"/>
    <w:rsid w:val="54277CEA"/>
    <w:rsid w:val="54396F64"/>
    <w:rsid w:val="544B0410"/>
    <w:rsid w:val="54650417"/>
    <w:rsid w:val="5470303A"/>
    <w:rsid w:val="5496609E"/>
    <w:rsid w:val="54A403A6"/>
    <w:rsid w:val="54A66B48"/>
    <w:rsid w:val="54EC2425"/>
    <w:rsid w:val="551B39E5"/>
    <w:rsid w:val="551C0087"/>
    <w:rsid w:val="55351F03"/>
    <w:rsid w:val="55593971"/>
    <w:rsid w:val="555A764D"/>
    <w:rsid w:val="55C460BB"/>
    <w:rsid w:val="55C75B6D"/>
    <w:rsid w:val="55DA7CE2"/>
    <w:rsid w:val="55F65176"/>
    <w:rsid w:val="56241653"/>
    <w:rsid w:val="56591469"/>
    <w:rsid w:val="566F08D3"/>
    <w:rsid w:val="569A10EB"/>
    <w:rsid w:val="56C738AA"/>
    <w:rsid w:val="56CD6F61"/>
    <w:rsid w:val="56F545EA"/>
    <w:rsid w:val="5724720E"/>
    <w:rsid w:val="576158FB"/>
    <w:rsid w:val="58160034"/>
    <w:rsid w:val="58195B7B"/>
    <w:rsid w:val="582B1DF1"/>
    <w:rsid w:val="583D48AB"/>
    <w:rsid w:val="584061BA"/>
    <w:rsid w:val="584A30A0"/>
    <w:rsid w:val="58555D02"/>
    <w:rsid w:val="58AA4A80"/>
    <w:rsid w:val="58D24381"/>
    <w:rsid w:val="5948610A"/>
    <w:rsid w:val="595326D0"/>
    <w:rsid w:val="597D1BE8"/>
    <w:rsid w:val="59814033"/>
    <w:rsid w:val="59A6797C"/>
    <w:rsid w:val="59B36508"/>
    <w:rsid w:val="59B60181"/>
    <w:rsid w:val="59F50507"/>
    <w:rsid w:val="59F7594B"/>
    <w:rsid w:val="5A104786"/>
    <w:rsid w:val="5A1E5254"/>
    <w:rsid w:val="5A356FE0"/>
    <w:rsid w:val="5A78358B"/>
    <w:rsid w:val="5A812AB9"/>
    <w:rsid w:val="5ABE3E45"/>
    <w:rsid w:val="5AE8220D"/>
    <w:rsid w:val="5B75306B"/>
    <w:rsid w:val="5B882C1E"/>
    <w:rsid w:val="5B8C73EB"/>
    <w:rsid w:val="5BD60DDA"/>
    <w:rsid w:val="5C4A2E02"/>
    <w:rsid w:val="5C563DCB"/>
    <w:rsid w:val="5C6A153F"/>
    <w:rsid w:val="5C89726A"/>
    <w:rsid w:val="5CD52621"/>
    <w:rsid w:val="5CE8325B"/>
    <w:rsid w:val="5D3D17FA"/>
    <w:rsid w:val="5DED613B"/>
    <w:rsid w:val="5E1704D0"/>
    <w:rsid w:val="5E3971C1"/>
    <w:rsid w:val="5E4A70E9"/>
    <w:rsid w:val="5E4D2FA9"/>
    <w:rsid w:val="5E56113B"/>
    <w:rsid w:val="5ED34982"/>
    <w:rsid w:val="5F1D62CF"/>
    <w:rsid w:val="5F2B4AE7"/>
    <w:rsid w:val="5F521AD6"/>
    <w:rsid w:val="5F751F44"/>
    <w:rsid w:val="5F7B33CD"/>
    <w:rsid w:val="5F985586"/>
    <w:rsid w:val="5F9A516C"/>
    <w:rsid w:val="5FA542EC"/>
    <w:rsid w:val="5FD2399B"/>
    <w:rsid w:val="5FE85406"/>
    <w:rsid w:val="602D1DB7"/>
    <w:rsid w:val="604A0B12"/>
    <w:rsid w:val="60665BFD"/>
    <w:rsid w:val="60806DF2"/>
    <w:rsid w:val="60AC3B3C"/>
    <w:rsid w:val="60CB4325"/>
    <w:rsid w:val="610A7DFD"/>
    <w:rsid w:val="610B1FAB"/>
    <w:rsid w:val="610D3B86"/>
    <w:rsid w:val="61272803"/>
    <w:rsid w:val="61284044"/>
    <w:rsid w:val="613857ED"/>
    <w:rsid w:val="616824FF"/>
    <w:rsid w:val="617F2D6D"/>
    <w:rsid w:val="6197127D"/>
    <w:rsid w:val="61D43E46"/>
    <w:rsid w:val="620A30F8"/>
    <w:rsid w:val="620D1D77"/>
    <w:rsid w:val="621428D5"/>
    <w:rsid w:val="62651B8C"/>
    <w:rsid w:val="62863AE1"/>
    <w:rsid w:val="62AA0C38"/>
    <w:rsid w:val="62B67ED1"/>
    <w:rsid w:val="62B80850"/>
    <w:rsid w:val="62BA7DB8"/>
    <w:rsid w:val="62EF200D"/>
    <w:rsid w:val="62F36B3E"/>
    <w:rsid w:val="63110577"/>
    <w:rsid w:val="6323652C"/>
    <w:rsid w:val="63482B59"/>
    <w:rsid w:val="637D2F2B"/>
    <w:rsid w:val="637D3ABD"/>
    <w:rsid w:val="639D3883"/>
    <w:rsid w:val="63A60AC8"/>
    <w:rsid w:val="63C219F2"/>
    <w:rsid w:val="63E27023"/>
    <w:rsid w:val="63E8362C"/>
    <w:rsid w:val="63EA3F04"/>
    <w:rsid w:val="645B2FF5"/>
    <w:rsid w:val="6488096B"/>
    <w:rsid w:val="64B133B9"/>
    <w:rsid w:val="64BC247E"/>
    <w:rsid w:val="64BC6D09"/>
    <w:rsid w:val="64C648AC"/>
    <w:rsid w:val="64E262CE"/>
    <w:rsid w:val="64E50A23"/>
    <w:rsid w:val="656E5F8C"/>
    <w:rsid w:val="65750A0E"/>
    <w:rsid w:val="65A4002C"/>
    <w:rsid w:val="65A43ABC"/>
    <w:rsid w:val="65A73866"/>
    <w:rsid w:val="65D854D7"/>
    <w:rsid w:val="65D973CE"/>
    <w:rsid w:val="660E20AC"/>
    <w:rsid w:val="66507F23"/>
    <w:rsid w:val="667C218A"/>
    <w:rsid w:val="669253D4"/>
    <w:rsid w:val="66A82BFF"/>
    <w:rsid w:val="66B36C14"/>
    <w:rsid w:val="66E577A0"/>
    <w:rsid w:val="670A58D3"/>
    <w:rsid w:val="672B33CB"/>
    <w:rsid w:val="673B289D"/>
    <w:rsid w:val="67980EC5"/>
    <w:rsid w:val="67A4577D"/>
    <w:rsid w:val="67DC2670"/>
    <w:rsid w:val="67E724CB"/>
    <w:rsid w:val="67ED0FD5"/>
    <w:rsid w:val="6821398C"/>
    <w:rsid w:val="682F6439"/>
    <w:rsid w:val="68401361"/>
    <w:rsid w:val="686849FA"/>
    <w:rsid w:val="687379E6"/>
    <w:rsid w:val="688562BF"/>
    <w:rsid w:val="68984F99"/>
    <w:rsid w:val="68C659C4"/>
    <w:rsid w:val="68CA32EC"/>
    <w:rsid w:val="68DA5C4D"/>
    <w:rsid w:val="68E222C4"/>
    <w:rsid w:val="68EC771B"/>
    <w:rsid w:val="68F55EA4"/>
    <w:rsid w:val="69586B13"/>
    <w:rsid w:val="6960184F"/>
    <w:rsid w:val="69AC2A06"/>
    <w:rsid w:val="69B75FC1"/>
    <w:rsid w:val="69D75721"/>
    <w:rsid w:val="6A0D28B8"/>
    <w:rsid w:val="6A116D0D"/>
    <w:rsid w:val="6A1C75A7"/>
    <w:rsid w:val="6A392A5A"/>
    <w:rsid w:val="6A566725"/>
    <w:rsid w:val="6A617C95"/>
    <w:rsid w:val="6A805212"/>
    <w:rsid w:val="6A993719"/>
    <w:rsid w:val="6A9A6796"/>
    <w:rsid w:val="6AB126F9"/>
    <w:rsid w:val="6AB75F7B"/>
    <w:rsid w:val="6AD23432"/>
    <w:rsid w:val="6AD6468E"/>
    <w:rsid w:val="6AFB1129"/>
    <w:rsid w:val="6B023BE7"/>
    <w:rsid w:val="6B194F66"/>
    <w:rsid w:val="6B2338D9"/>
    <w:rsid w:val="6B3616A9"/>
    <w:rsid w:val="6B3B6738"/>
    <w:rsid w:val="6BAC3191"/>
    <w:rsid w:val="6BAC7D04"/>
    <w:rsid w:val="6BB82455"/>
    <w:rsid w:val="6BC7201E"/>
    <w:rsid w:val="6BD02241"/>
    <w:rsid w:val="6BE02A17"/>
    <w:rsid w:val="6C370FEA"/>
    <w:rsid w:val="6C3C7983"/>
    <w:rsid w:val="6C5B6CAB"/>
    <w:rsid w:val="6D450C03"/>
    <w:rsid w:val="6D5715BC"/>
    <w:rsid w:val="6D5A7E15"/>
    <w:rsid w:val="6D5C7973"/>
    <w:rsid w:val="6D77692B"/>
    <w:rsid w:val="6D8343C6"/>
    <w:rsid w:val="6DA1259D"/>
    <w:rsid w:val="6DA14E5B"/>
    <w:rsid w:val="6DAE0355"/>
    <w:rsid w:val="6DDE5180"/>
    <w:rsid w:val="6DE21ABB"/>
    <w:rsid w:val="6E1E75B4"/>
    <w:rsid w:val="6E40457D"/>
    <w:rsid w:val="6E624E49"/>
    <w:rsid w:val="6E6A3D7F"/>
    <w:rsid w:val="6E7D0E15"/>
    <w:rsid w:val="6E82642B"/>
    <w:rsid w:val="6E882B0C"/>
    <w:rsid w:val="6EB0209E"/>
    <w:rsid w:val="6EC84E81"/>
    <w:rsid w:val="6EFB6F9F"/>
    <w:rsid w:val="6F1D61D4"/>
    <w:rsid w:val="6F314AB8"/>
    <w:rsid w:val="6F40431D"/>
    <w:rsid w:val="6F444F40"/>
    <w:rsid w:val="6F6249FC"/>
    <w:rsid w:val="6F8F131B"/>
    <w:rsid w:val="6FB07FAF"/>
    <w:rsid w:val="6FBD422D"/>
    <w:rsid w:val="6FC54822"/>
    <w:rsid w:val="6FD43735"/>
    <w:rsid w:val="6FEC1D64"/>
    <w:rsid w:val="6FF02587"/>
    <w:rsid w:val="70193D98"/>
    <w:rsid w:val="70206046"/>
    <w:rsid w:val="70255153"/>
    <w:rsid w:val="70270BF9"/>
    <w:rsid w:val="703445D0"/>
    <w:rsid w:val="7040580B"/>
    <w:rsid w:val="704B0516"/>
    <w:rsid w:val="706D70EA"/>
    <w:rsid w:val="708C3591"/>
    <w:rsid w:val="711331CB"/>
    <w:rsid w:val="7124331F"/>
    <w:rsid w:val="71531BDB"/>
    <w:rsid w:val="71B63567"/>
    <w:rsid w:val="7214446D"/>
    <w:rsid w:val="72373DD2"/>
    <w:rsid w:val="72521FCB"/>
    <w:rsid w:val="726476AF"/>
    <w:rsid w:val="729101EB"/>
    <w:rsid w:val="72D55D2F"/>
    <w:rsid w:val="72E3534E"/>
    <w:rsid w:val="730B6AF1"/>
    <w:rsid w:val="73201068"/>
    <w:rsid w:val="732F529F"/>
    <w:rsid w:val="73383C78"/>
    <w:rsid w:val="736B3932"/>
    <w:rsid w:val="736E59D9"/>
    <w:rsid w:val="73AD4D15"/>
    <w:rsid w:val="73C90AE5"/>
    <w:rsid w:val="74005EA0"/>
    <w:rsid w:val="74047ED2"/>
    <w:rsid w:val="74397715"/>
    <w:rsid w:val="746A7D93"/>
    <w:rsid w:val="74806F69"/>
    <w:rsid w:val="749902AB"/>
    <w:rsid w:val="74B37B29"/>
    <w:rsid w:val="74D93DD0"/>
    <w:rsid w:val="74F87A77"/>
    <w:rsid w:val="751161D6"/>
    <w:rsid w:val="75177D0E"/>
    <w:rsid w:val="75354521"/>
    <w:rsid w:val="75571002"/>
    <w:rsid w:val="75755DDB"/>
    <w:rsid w:val="75EC51A4"/>
    <w:rsid w:val="762D7C18"/>
    <w:rsid w:val="763674B0"/>
    <w:rsid w:val="76426BCC"/>
    <w:rsid w:val="76687216"/>
    <w:rsid w:val="76712B58"/>
    <w:rsid w:val="76824E56"/>
    <w:rsid w:val="769C2531"/>
    <w:rsid w:val="76B04343"/>
    <w:rsid w:val="76C2268B"/>
    <w:rsid w:val="76FB6D7B"/>
    <w:rsid w:val="77347BE1"/>
    <w:rsid w:val="774233FC"/>
    <w:rsid w:val="7763013F"/>
    <w:rsid w:val="777364DD"/>
    <w:rsid w:val="77B81419"/>
    <w:rsid w:val="77E917AC"/>
    <w:rsid w:val="7807637A"/>
    <w:rsid w:val="781400F4"/>
    <w:rsid w:val="78250E0C"/>
    <w:rsid w:val="78951EA4"/>
    <w:rsid w:val="78E42EB8"/>
    <w:rsid w:val="78FE72DF"/>
    <w:rsid w:val="79103AA3"/>
    <w:rsid w:val="79175F00"/>
    <w:rsid w:val="7938570E"/>
    <w:rsid w:val="797C2153"/>
    <w:rsid w:val="798C0674"/>
    <w:rsid w:val="79954CE7"/>
    <w:rsid w:val="7A3226B1"/>
    <w:rsid w:val="7A4B21A3"/>
    <w:rsid w:val="7A693147"/>
    <w:rsid w:val="7A6D5AAD"/>
    <w:rsid w:val="7A732740"/>
    <w:rsid w:val="7A760479"/>
    <w:rsid w:val="7A80438A"/>
    <w:rsid w:val="7A811C27"/>
    <w:rsid w:val="7ABC0056"/>
    <w:rsid w:val="7ADD481C"/>
    <w:rsid w:val="7AED701C"/>
    <w:rsid w:val="7B4F7695"/>
    <w:rsid w:val="7B75534E"/>
    <w:rsid w:val="7B816575"/>
    <w:rsid w:val="7B97566F"/>
    <w:rsid w:val="7B9E0763"/>
    <w:rsid w:val="7BB732AD"/>
    <w:rsid w:val="7BC02341"/>
    <w:rsid w:val="7BC54786"/>
    <w:rsid w:val="7BC77DB4"/>
    <w:rsid w:val="7BDC53CD"/>
    <w:rsid w:val="7BE4252F"/>
    <w:rsid w:val="7C0D338E"/>
    <w:rsid w:val="7C0F1252"/>
    <w:rsid w:val="7C127041"/>
    <w:rsid w:val="7C2216AD"/>
    <w:rsid w:val="7C2379F9"/>
    <w:rsid w:val="7C287CA2"/>
    <w:rsid w:val="7C2C7C79"/>
    <w:rsid w:val="7C3C5E6C"/>
    <w:rsid w:val="7C713CCC"/>
    <w:rsid w:val="7C7346B3"/>
    <w:rsid w:val="7C961A20"/>
    <w:rsid w:val="7CA3792E"/>
    <w:rsid w:val="7CC52305"/>
    <w:rsid w:val="7CE37C89"/>
    <w:rsid w:val="7D2D5FAA"/>
    <w:rsid w:val="7D3B689B"/>
    <w:rsid w:val="7D422698"/>
    <w:rsid w:val="7D502EB2"/>
    <w:rsid w:val="7D800570"/>
    <w:rsid w:val="7DAF5497"/>
    <w:rsid w:val="7DB11D59"/>
    <w:rsid w:val="7DDF73F6"/>
    <w:rsid w:val="7DF3313E"/>
    <w:rsid w:val="7DF86B1F"/>
    <w:rsid w:val="7E065D09"/>
    <w:rsid w:val="7E392ABF"/>
    <w:rsid w:val="7E4E5AA3"/>
    <w:rsid w:val="7E670C35"/>
    <w:rsid w:val="7E6C04C0"/>
    <w:rsid w:val="7EBD56DC"/>
    <w:rsid w:val="7EE026D9"/>
    <w:rsid w:val="7F056FC9"/>
    <w:rsid w:val="7F0B0D88"/>
    <w:rsid w:val="7F0D3DA3"/>
    <w:rsid w:val="7F3F1647"/>
    <w:rsid w:val="7F62377F"/>
    <w:rsid w:val="7F9A5373"/>
    <w:rsid w:val="7FB977D3"/>
    <w:rsid w:val="7FE36BB4"/>
    <w:rsid w:val="7FF6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0" w:lineRule="exact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/>
      <w:spacing w:before="120" w:after="120" w:line="360" w:lineRule="auto"/>
      <w:outlineLvl w:val="0"/>
    </w:pPr>
    <w:rPr>
      <w:rFonts w:eastAsia="黑体"/>
      <w:bCs/>
      <w:kern w:val="44"/>
      <w:sz w:val="2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adjustRightInd/>
      <w:spacing w:line="360" w:lineRule="auto"/>
      <w:outlineLvl w:val="1"/>
    </w:pPr>
    <w:rPr>
      <w:rFonts w:eastAsia="黑体"/>
      <w:bCs/>
      <w:sz w:val="2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adjustRightInd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adjustRightInd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autoRedefine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1"/>
    <w:autoRedefine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autoRedefine/>
    <w:qFormat/>
    <w:uiPriority w:val="0"/>
  </w:style>
  <w:style w:type="paragraph" w:styleId="12">
    <w:name w:val="toc 6"/>
    <w:basedOn w:val="13"/>
    <w:autoRedefine/>
    <w:qFormat/>
    <w:uiPriority w:val="0"/>
  </w:style>
  <w:style w:type="paragraph" w:styleId="13">
    <w:name w:val="toc 5"/>
    <w:basedOn w:val="14"/>
    <w:autoRedefine/>
    <w:qFormat/>
    <w:uiPriority w:val="0"/>
  </w:style>
  <w:style w:type="paragraph" w:styleId="14">
    <w:name w:val="toc 4"/>
    <w:basedOn w:val="15"/>
    <w:autoRedefine/>
    <w:qFormat/>
    <w:uiPriority w:val="0"/>
  </w:style>
  <w:style w:type="paragraph" w:styleId="15">
    <w:name w:val="toc 3"/>
    <w:basedOn w:val="16"/>
    <w:autoRedefine/>
    <w:qFormat/>
    <w:uiPriority w:val="39"/>
  </w:style>
  <w:style w:type="paragraph" w:styleId="16">
    <w:name w:val="toc 2"/>
    <w:basedOn w:val="17"/>
    <w:qFormat/>
    <w:uiPriority w:val="39"/>
  </w:style>
  <w:style w:type="paragraph" w:styleId="17">
    <w:name w:val="toc 1"/>
    <w:qFormat/>
    <w:uiPriority w:val="39"/>
    <w:pPr>
      <w:spacing w:line="336" w:lineRule="auto"/>
      <w:jc w:val="both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18">
    <w:name w:val="caption"/>
    <w:basedOn w:val="1"/>
    <w:next w:val="1"/>
    <w:autoRedefine/>
    <w:qFormat/>
    <w:uiPriority w:val="0"/>
    <w:rPr>
      <w:rFonts w:ascii="Cambria" w:hAnsi="Cambria" w:eastAsia="黑体" w:cs="黑体"/>
      <w:sz w:val="20"/>
    </w:rPr>
  </w:style>
  <w:style w:type="paragraph" w:styleId="19">
    <w:name w:val="annotation text"/>
    <w:basedOn w:val="1"/>
    <w:autoRedefine/>
    <w:qFormat/>
    <w:uiPriority w:val="0"/>
    <w:pPr>
      <w:jc w:val="left"/>
    </w:pPr>
  </w:style>
  <w:style w:type="paragraph" w:styleId="20">
    <w:name w:val="Body Text"/>
    <w:basedOn w:val="1"/>
    <w:qFormat/>
    <w:uiPriority w:val="0"/>
    <w:pPr>
      <w:spacing w:after="120"/>
    </w:pPr>
  </w:style>
  <w:style w:type="paragraph" w:styleId="21">
    <w:name w:val="Body Text Indent"/>
    <w:basedOn w:val="1"/>
    <w:qFormat/>
    <w:uiPriority w:val="0"/>
    <w:pPr>
      <w:ind w:firstLine="720"/>
    </w:pPr>
    <w:rPr>
      <w:sz w:val="32"/>
    </w:rPr>
  </w:style>
  <w:style w:type="paragraph" w:styleId="22">
    <w:name w:val="Block Text"/>
    <w:basedOn w:val="1"/>
    <w:autoRedefine/>
    <w:qFormat/>
    <w:uiPriority w:val="0"/>
    <w:pPr>
      <w:adjustRightInd/>
      <w:spacing w:line="240" w:lineRule="auto"/>
      <w:ind w:left="-1418" w:right="-1558" w:firstLine="1418"/>
    </w:pPr>
    <w:rPr>
      <w:sz w:val="28"/>
    </w:rPr>
  </w:style>
  <w:style w:type="paragraph" w:styleId="23">
    <w:name w:val="Plain Text"/>
    <w:basedOn w:val="1"/>
    <w:link w:val="42"/>
    <w:qFormat/>
    <w:uiPriority w:val="0"/>
    <w:pPr>
      <w:adjustRightInd/>
      <w:spacing w:line="240" w:lineRule="auto"/>
    </w:pPr>
    <w:rPr>
      <w:rFonts w:ascii="宋体" w:hAnsi="Courier New" w:cs="Courier New"/>
      <w:szCs w:val="21"/>
    </w:rPr>
  </w:style>
  <w:style w:type="paragraph" w:styleId="24">
    <w:name w:val="toc 8"/>
    <w:basedOn w:val="11"/>
    <w:autoRedefine/>
    <w:qFormat/>
    <w:uiPriority w:val="0"/>
  </w:style>
  <w:style w:type="paragraph" w:styleId="25">
    <w:name w:val="Date"/>
    <w:basedOn w:val="1"/>
    <w:next w:val="1"/>
    <w:link w:val="43"/>
    <w:autoRedefine/>
    <w:qFormat/>
    <w:uiPriority w:val="0"/>
    <w:pPr>
      <w:ind w:left="100" w:leftChars="2500"/>
    </w:pPr>
  </w:style>
  <w:style w:type="paragraph" w:styleId="26">
    <w:name w:val="Balloon Text"/>
    <w:basedOn w:val="1"/>
    <w:link w:val="44"/>
    <w:autoRedefine/>
    <w:qFormat/>
    <w:uiPriority w:val="0"/>
    <w:pPr>
      <w:spacing w:line="240" w:lineRule="auto"/>
    </w:pPr>
    <w:rPr>
      <w:sz w:val="18"/>
      <w:szCs w:val="18"/>
    </w:rPr>
  </w:style>
  <w:style w:type="paragraph" w:styleId="27">
    <w:name w:val="footer"/>
    <w:basedOn w:val="1"/>
    <w:link w:val="45"/>
    <w:autoRedefine/>
    <w:qFormat/>
    <w:uiPriority w:val="0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28">
    <w:name w:val="header"/>
    <w:basedOn w:val="1"/>
    <w:autoRedefine/>
    <w:qFormat/>
    <w:uiPriority w:val="0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9">
    <w:name w:val="footnote text"/>
    <w:basedOn w:val="1"/>
    <w:next w:val="30"/>
    <w:qFormat/>
    <w:uiPriority w:val="0"/>
    <w:pPr>
      <w:adjustRightInd/>
      <w:snapToGrid w:val="0"/>
      <w:spacing w:line="300" w:lineRule="auto"/>
      <w:ind w:left="400" w:leftChars="200" w:hanging="200" w:hangingChars="200"/>
      <w:jc w:val="left"/>
    </w:pPr>
    <w:rPr>
      <w:rFonts w:ascii="仿宋_GB2312" w:hAnsi="仿宋_GB2312" w:eastAsia="仿宋_GB2312" w:cs="仿宋_GB2312"/>
      <w:sz w:val="18"/>
      <w:szCs w:val="18"/>
    </w:rPr>
  </w:style>
  <w:style w:type="paragraph" w:customStyle="1" w:styleId="30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styleId="31">
    <w:name w:val="toc 9"/>
    <w:basedOn w:val="24"/>
    <w:qFormat/>
    <w:uiPriority w:val="0"/>
  </w:style>
  <w:style w:type="paragraph" w:styleId="32">
    <w:name w:val="Title"/>
    <w:basedOn w:val="1"/>
    <w:autoRedefine/>
    <w:qFormat/>
    <w:uiPriority w:val="0"/>
    <w:pPr>
      <w:adjustRightInd/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34">
    <w:name w:val="Table Grid"/>
    <w:basedOn w:val="33"/>
    <w:autoRedefine/>
    <w:qFormat/>
    <w:uiPriority w:val="0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6">
    <w:name w:val="page number"/>
    <w:autoRedefine/>
    <w:qFormat/>
    <w:uiPriority w:val="0"/>
    <w:rPr>
      <w:rFonts w:ascii="宋体" w:hAnsi="Times New Roman" w:eastAsia="宋体" w:cs="Times New Roman"/>
      <w:sz w:val="18"/>
    </w:rPr>
  </w:style>
  <w:style w:type="character" w:styleId="37">
    <w:name w:val="Emphasis"/>
    <w:autoRedefine/>
    <w:qFormat/>
    <w:uiPriority w:val="0"/>
    <w:rPr>
      <w:color w:val="CC0000"/>
    </w:rPr>
  </w:style>
  <w:style w:type="character" w:styleId="38">
    <w:name w:val="Hyperlink"/>
    <w:autoRedefine/>
    <w:qFormat/>
    <w:uiPriority w:val="99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9">
    <w:name w:val="annotation reference"/>
    <w:basedOn w:val="35"/>
    <w:qFormat/>
    <w:uiPriority w:val="0"/>
    <w:rPr>
      <w:sz w:val="21"/>
      <w:szCs w:val="21"/>
    </w:rPr>
  </w:style>
  <w:style w:type="character" w:styleId="40">
    <w:name w:val="footnote reference"/>
    <w:autoRedefine/>
    <w:qFormat/>
    <w:uiPriority w:val="0"/>
    <w:rPr>
      <w:rFonts w:ascii="宋体" w:eastAsia="宋体"/>
      <w:sz w:val="18"/>
      <w:vertAlign w:val="superscript"/>
    </w:rPr>
  </w:style>
  <w:style w:type="character" w:customStyle="1" w:styleId="41">
    <w:name w:val="标题 8 字符"/>
    <w:link w:val="9"/>
    <w:autoRedefine/>
    <w:qFormat/>
    <w:uiPriority w:val="0"/>
    <w:rPr>
      <w:rFonts w:ascii="Arial" w:hAnsi="Arial" w:eastAsia="黑体"/>
      <w:kern w:val="2"/>
      <w:sz w:val="24"/>
      <w:szCs w:val="24"/>
      <w:lang w:val="en-US" w:eastAsia="zh-CN" w:bidi="ar-SA"/>
    </w:rPr>
  </w:style>
  <w:style w:type="character" w:customStyle="1" w:styleId="42">
    <w:name w:val="纯文本 字符"/>
    <w:link w:val="23"/>
    <w:autoRedefine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43">
    <w:name w:val="日期 字符"/>
    <w:link w:val="25"/>
    <w:autoRedefine/>
    <w:qFormat/>
    <w:uiPriority w:val="0"/>
    <w:rPr>
      <w:kern w:val="2"/>
      <w:sz w:val="21"/>
    </w:rPr>
  </w:style>
  <w:style w:type="character" w:customStyle="1" w:styleId="44">
    <w:name w:val="批注框文本 字符"/>
    <w:link w:val="26"/>
    <w:autoRedefine/>
    <w:qFormat/>
    <w:uiPriority w:val="0"/>
    <w:rPr>
      <w:kern w:val="2"/>
      <w:sz w:val="18"/>
      <w:szCs w:val="18"/>
    </w:rPr>
  </w:style>
  <w:style w:type="character" w:customStyle="1" w:styleId="45">
    <w:name w:val="页脚 字符"/>
    <w:link w:val="27"/>
    <w:autoRedefine/>
    <w:qFormat/>
    <w:uiPriority w:val="0"/>
    <w:rPr>
      <w:rFonts w:ascii="宋体"/>
      <w:kern w:val="2"/>
      <w:sz w:val="18"/>
      <w:szCs w:val="18"/>
    </w:rPr>
  </w:style>
  <w:style w:type="character" w:customStyle="1" w:styleId="46">
    <w:name w:val="规程中文名称（标题）"/>
    <w:autoRedefine/>
    <w:qFormat/>
    <w:uiPriority w:val="0"/>
    <w:rPr>
      <w:rFonts w:eastAsia="黑体"/>
      <w:b/>
      <w:sz w:val="52"/>
    </w:rPr>
  </w:style>
  <w:style w:type="character" w:customStyle="1" w:styleId="47">
    <w:name w:val="规程英文名称"/>
    <w:autoRedefine/>
    <w:qFormat/>
    <w:uiPriority w:val="0"/>
    <w:rPr>
      <w:rFonts w:ascii="Times New Roman" w:hAnsi="Times New Roman" w:eastAsia="Times New Roman"/>
      <w:sz w:val="28"/>
    </w:rPr>
  </w:style>
  <w:style w:type="character" w:customStyle="1" w:styleId="48">
    <w:name w:val="标准文件_图表脚注内容"/>
    <w:autoRedefine/>
    <w:qFormat/>
    <w:uiPriority w:val="0"/>
    <w:rPr>
      <w:rFonts w:ascii="宋体" w:eastAsia="宋体"/>
      <w:spacing w:val="200"/>
      <w:sz w:val="18"/>
      <w:vertAlign w:val="superscript"/>
    </w:rPr>
  </w:style>
  <w:style w:type="character" w:customStyle="1" w:styleId="49">
    <w:name w:val="规程中文名称"/>
    <w:autoRedefine/>
    <w:qFormat/>
    <w:uiPriority w:val="0"/>
    <w:rPr>
      <w:rFonts w:eastAsia="黑体"/>
      <w:sz w:val="44"/>
    </w:rPr>
  </w:style>
  <w:style w:type="character" w:customStyle="1" w:styleId="50">
    <w:name w:val="纯文本 Char"/>
    <w:link w:val="51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51">
    <w:name w:val="纯文本1"/>
    <w:basedOn w:val="1"/>
    <w:link w:val="50"/>
    <w:autoRedefine/>
    <w:qFormat/>
    <w:uiPriority w:val="0"/>
    <w:pPr>
      <w:adjustRightInd/>
      <w:spacing w:line="240" w:lineRule="auto"/>
    </w:pPr>
    <w:rPr>
      <w:rFonts w:ascii="宋体" w:hAnsi="Courier New"/>
      <w:szCs w:val="21"/>
    </w:rPr>
  </w:style>
  <w:style w:type="character" w:customStyle="1" w:styleId="52">
    <w:name w:val="规程编号"/>
    <w:autoRedefine/>
    <w:qFormat/>
    <w:uiPriority w:val="0"/>
    <w:rPr>
      <w:rFonts w:ascii="Times New Roman" w:hAnsi="Times New Roman"/>
      <w:b/>
      <w:color w:val="auto"/>
      <w:sz w:val="30"/>
    </w:rPr>
  </w:style>
  <w:style w:type="character" w:customStyle="1" w:styleId="53">
    <w:name w:val="规程编号（页眉）"/>
    <w:autoRedefine/>
    <w:qFormat/>
    <w:uiPriority w:val="0"/>
    <w:rPr>
      <w:rFonts w:ascii="Times New Roman" w:hAnsi="Times New Roman" w:eastAsia="Times New Roman"/>
      <w:b/>
      <w:sz w:val="21"/>
    </w:rPr>
  </w:style>
  <w:style w:type="character" w:customStyle="1" w:styleId="54">
    <w:name w:val="发布"/>
    <w:autoRedefine/>
    <w:qFormat/>
    <w:uiPriority w:val="0"/>
    <w:rPr>
      <w:rFonts w:ascii="黑体" w:hAnsi="黑体" w:eastAsia="黑体"/>
      <w:sz w:val="28"/>
    </w:rPr>
  </w:style>
  <w:style w:type="character" w:customStyle="1" w:styleId="55">
    <w:name w:val="四号宋体"/>
    <w:autoRedefine/>
    <w:qFormat/>
    <w:uiPriority w:val="0"/>
    <w:rPr>
      <w:rFonts w:eastAsia="宋体"/>
      <w:sz w:val="28"/>
    </w:rPr>
  </w:style>
  <w:style w:type="character" w:customStyle="1" w:styleId="56">
    <w:name w:val="扉页1"/>
    <w:autoRedefine/>
    <w:qFormat/>
    <w:uiPriority w:val="0"/>
    <w:rPr>
      <w:rFonts w:ascii="Times New Roman" w:hAnsi="Times New Roman" w:eastAsia="宋体"/>
      <w:sz w:val="28"/>
    </w:rPr>
  </w:style>
  <w:style w:type="character" w:customStyle="1" w:styleId="57">
    <w:name w:val="fontstyle01"/>
    <w:autoRedefine/>
    <w:qFormat/>
    <w:uiPriority w:val="0"/>
    <w:rPr>
      <w:rFonts w:hint="default" w:ascii="Helvetica-Bold" w:hAnsi="Helvetica-Bold"/>
      <w:b/>
      <w:bCs/>
      <w:color w:val="231F20"/>
      <w:sz w:val="26"/>
      <w:szCs w:val="26"/>
    </w:rPr>
  </w:style>
  <w:style w:type="character" w:customStyle="1" w:styleId="58">
    <w:name w:val="四号黑体"/>
    <w:autoRedefine/>
    <w:qFormat/>
    <w:uiPriority w:val="0"/>
    <w:rPr>
      <w:rFonts w:eastAsia="黑体"/>
      <w:sz w:val="28"/>
    </w:rPr>
  </w:style>
  <w:style w:type="character" w:customStyle="1" w:styleId="59">
    <w:name w:val="书籍标题1"/>
    <w:autoRedefine/>
    <w:qFormat/>
    <w:uiPriority w:val="0"/>
    <w:rPr>
      <w:b/>
      <w:bCs/>
      <w:smallCaps/>
      <w:spacing w:val="5"/>
    </w:rPr>
  </w:style>
  <w:style w:type="character" w:customStyle="1" w:styleId="60">
    <w:name w:val="页码1"/>
    <w:autoRedefine/>
    <w:qFormat/>
    <w:uiPriority w:val="0"/>
    <w:rPr>
      <w:rFonts w:ascii="宋体" w:hAnsi="Times New Roman" w:eastAsia="宋体"/>
      <w:sz w:val="18"/>
    </w:rPr>
  </w:style>
  <w:style w:type="character" w:customStyle="1" w:styleId="61">
    <w:name w:val="三号黑体"/>
    <w:autoRedefine/>
    <w:qFormat/>
    <w:uiPriority w:val="0"/>
    <w:rPr>
      <w:rFonts w:eastAsia="黑体"/>
      <w:sz w:val="32"/>
    </w:rPr>
  </w:style>
  <w:style w:type="character" w:customStyle="1" w:styleId="62">
    <w:name w:val="四号宋体加粗"/>
    <w:autoRedefine/>
    <w:qFormat/>
    <w:uiPriority w:val="0"/>
    <w:rPr>
      <w:rFonts w:eastAsia="宋体"/>
      <w:b/>
      <w:sz w:val="28"/>
    </w:rPr>
  </w:style>
  <w:style w:type="character" w:customStyle="1" w:styleId="63">
    <w:name w:val="三号宋体"/>
    <w:autoRedefine/>
    <w:qFormat/>
    <w:uiPriority w:val="0"/>
    <w:rPr>
      <w:rFonts w:ascii="Times New Roman" w:hAnsi="Times New Roman" w:eastAsia="宋体"/>
      <w:sz w:val="32"/>
    </w:rPr>
  </w:style>
  <w:style w:type="character" w:customStyle="1" w:styleId="64">
    <w:name w:val="EmailStyle68"/>
    <w:autoRedefine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65">
    <w:name w:val="EmailStyle67"/>
    <w:autoRedefine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66">
    <w:name w:val="标准文件_发布"/>
    <w:autoRedefine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67">
    <w:name w:val="占位符文本1"/>
    <w:autoRedefine/>
    <w:qFormat/>
    <w:uiPriority w:val="0"/>
    <w:rPr>
      <w:color w:val="808080"/>
    </w:rPr>
  </w:style>
  <w:style w:type="character" w:customStyle="1" w:styleId="68">
    <w:name w:val="四号黑体加粗"/>
    <w:autoRedefine/>
    <w:qFormat/>
    <w:uiPriority w:val="0"/>
    <w:rPr>
      <w:rFonts w:eastAsia="黑体"/>
      <w:b/>
      <w:sz w:val="28"/>
    </w:rPr>
  </w:style>
  <w:style w:type="character" w:customStyle="1" w:styleId="69">
    <w:name w:val="国防军工计量检定规程"/>
    <w:autoRedefine/>
    <w:qFormat/>
    <w:uiPriority w:val="0"/>
    <w:rPr>
      <w:rFonts w:eastAsia="华文中宋"/>
      <w:b/>
      <w:bCs/>
      <w:smallCaps/>
      <w:spacing w:val="5"/>
      <w:sz w:val="68"/>
    </w:rPr>
  </w:style>
  <w:style w:type="character" w:customStyle="1" w:styleId="70">
    <w:name w:val="规程英文名称（标题）"/>
    <w:autoRedefine/>
    <w:qFormat/>
    <w:uiPriority w:val="0"/>
    <w:rPr>
      <w:rFonts w:ascii="Times New Roman" w:hAnsi="Times New Roman" w:eastAsia="Times New Roman"/>
      <w:b/>
      <w:sz w:val="28"/>
    </w:rPr>
  </w:style>
  <w:style w:type="paragraph" w:customStyle="1" w:styleId="71">
    <w:name w:val="标准文件_封面密级"/>
    <w:basedOn w:val="1"/>
    <w:autoRedefine/>
    <w:qFormat/>
    <w:uiPriority w:val="0"/>
    <w:rPr>
      <w:rFonts w:eastAsia="黑体"/>
      <w:sz w:val="32"/>
    </w:rPr>
  </w:style>
  <w:style w:type="paragraph" w:customStyle="1" w:styleId="72">
    <w:name w:val="其他标准称谓"/>
    <w:autoRedefine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73">
    <w:name w:val="样式 标准文件_标准正文 + +中文正文 小二 加粗"/>
    <w:basedOn w:val="74"/>
    <w:autoRedefine/>
    <w:qFormat/>
    <w:uiPriority w:val="0"/>
    <w:rPr>
      <w:rFonts w:ascii="宋体" w:hAnsi="宋体"/>
      <w:b/>
      <w:bCs/>
      <w:sz w:val="36"/>
    </w:rPr>
  </w:style>
  <w:style w:type="paragraph" w:customStyle="1" w:styleId="74">
    <w:name w:val="标准文件_标准正文"/>
    <w:basedOn w:val="1"/>
    <w:next w:val="75"/>
    <w:autoRedefine/>
    <w:qFormat/>
    <w:uiPriority w:val="0"/>
    <w:pPr>
      <w:snapToGrid w:val="0"/>
      <w:spacing w:before="468" w:beforeLines="150" w:line="240" w:lineRule="auto"/>
      <w:ind w:right="567" w:rightChars="270"/>
      <w:jc w:val="right"/>
    </w:pPr>
    <w:rPr>
      <w:spacing w:val="2"/>
      <w:kern w:val="0"/>
      <w:sz w:val="45"/>
    </w:rPr>
  </w:style>
  <w:style w:type="paragraph" w:customStyle="1" w:styleId="75">
    <w:name w:val="标准文件_段"/>
    <w:autoRedefine/>
    <w:qFormat/>
    <w:uiPriority w:val="0"/>
    <w:pPr>
      <w:autoSpaceDE w:val="0"/>
      <w:autoSpaceDN w:val="0"/>
      <w:spacing w:line="360" w:lineRule="auto"/>
      <w:ind w:firstLine="560" w:firstLineChars="200"/>
    </w:pPr>
    <w:rPr>
      <w:rFonts w:ascii="Times New Roman" w:hAnsi="Times New Roman" w:eastAsia="黑体" w:cs="Times New Roman"/>
      <w:spacing w:val="2"/>
      <w:sz w:val="24"/>
      <w:szCs w:val="24"/>
      <w:lang w:val="en-US" w:eastAsia="zh-CN" w:bidi="ar-SA"/>
    </w:rPr>
  </w:style>
  <w:style w:type="paragraph" w:customStyle="1" w:styleId="76">
    <w:name w:val="标准文件_前言、引言标题"/>
    <w:next w:val="1"/>
    <w:autoRedefine/>
    <w:qFormat/>
    <w:uiPriority w:val="0"/>
    <w:pPr>
      <w:shd w:val="clear" w:color="FFFFFF" w:fill="FFFFFF"/>
      <w:spacing w:before="567" w:after="680"/>
      <w:jc w:val="center"/>
      <w:outlineLvl w:val="0"/>
    </w:pPr>
    <w:rPr>
      <w:rFonts w:ascii="黑体" w:hAnsi="Times New Roman" w:eastAsia="黑体" w:cs="Times New Roman"/>
      <w:spacing w:val="200"/>
      <w:sz w:val="32"/>
      <w:lang w:val="en-US" w:eastAsia="zh-CN" w:bidi="ar-SA"/>
    </w:rPr>
  </w:style>
  <w:style w:type="paragraph" w:customStyle="1" w:styleId="77">
    <w:name w:val="条4"/>
    <w:basedOn w:val="1"/>
    <w:next w:val="78"/>
    <w:autoRedefine/>
    <w:qFormat/>
    <w:uiPriority w:val="0"/>
    <w:pPr>
      <w:numPr>
        <w:ilvl w:val="4"/>
        <w:numId w:val="1"/>
      </w:numPr>
      <w:adjustRightInd/>
      <w:spacing w:line="240" w:lineRule="auto"/>
      <w:outlineLvl w:val="1"/>
    </w:pPr>
    <w:rPr>
      <w:rFonts w:ascii="黑体" w:eastAsia="黑体"/>
      <w:kern w:val="21"/>
    </w:rPr>
  </w:style>
  <w:style w:type="paragraph" w:customStyle="1" w:styleId="78">
    <w:name w:val="段"/>
    <w:next w:val="1"/>
    <w:autoRedefine/>
    <w:qFormat/>
    <w:uiPriority w:val="0"/>
    <w:pPr>
      <w:tabs>
        <w:tab w:val="left" w:pos="1410"/>
        <w:tab w:val="center" w:pos="4748"/>
      </w:tabs>
      <w:autoSpaceDE w:val="0"/>
      <w:autoSpaceDN w:val="0"/>
      <w:spacing w:line="360" w:lineRule="auto"/>
      <w:ind w:firstLine="480" w:firstLineChars="200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9">
    <w:name w:val="条3"/>
    <w:basedOn w:val="1"/>
    <w:next w:val="78"/>
    <w:autoRedefine/>
    <w:qFormat/>
    <w:uiPriority w:val="0"/>
    <w:pPr>
      <w:numPr>
        <w:ilvl w:val="3"/>
        <w:numId w:val="1"/>
      </w:numPr>
      <w:adjustRightInd/>
      <w:spacing w:line="240" w:lineRule="auto"/>
      <w:outlineLvl w:val="1"/>
    </w:pPr>
    <w:rPr>
      <w:rFonts w:ascii="黑体" w:eastAsia="黑体"/>
      <w:kern w:val="21"/>
    </w:rPr>
  </w:style>
  <w:style w:type="paragraph" w:customStyle="1" w:styleId="80">
    <w:name w:val="标准文件_附录二级条标题"/>
    <w:basedOn w:val="81"/>
    <w:next w:val="75"/>
    <w:autoRedefine/>
    <w:qFormat/>
    <w:uiPriority w:val="0"/>
    <w:pPr>
      <w:numPr>
        <w:ilvl w:val="0"/>
      </w:numPr>
      <w:ind w:left="-50"/>
      <w:outlineLvl w:val="3"/>
    </w:pPr>
  </w:style>
  <w:style w:type="paragraph" w:customStyle="1" w:styleId="81">
    <w:name w:val="标准文件_附录一级条标题"/>
    <w:basedOn w:val="82"/>
    <w:next w:val="75"/>
    <w:autoRedefine/>
    <w:qFormat/>
    <w:uiPriority w:val="0"/>
    <w:pPr>
      <w:numPr>
        <w:numId w:val="0"/>
      </w:numPr>
      <w:autoSpaceDN w:val="0"/>
      <w:ind w:left="-50"/>
      <w:outlineLvl w:val="2"/>
    </w:pPr>
    <w:rPr>
      <w:spacing w:val="2"/>
    </w:rPr>
  </w:style>
  <w:style w:type="paragraph" w:customStyle="1" w:styleId="82">
    <w:name w:val="标准文件_附录章标题"/>
    <w:next w:val="75"/>
    <w:autoRedefine/>
    <w:qFormat/>
    <w:uiPriority w:val="0"/>
    <w:pPr>
      <w:numPr>
        <w:ilvl w:val="1"/>
        <w:numId w:val="2"/>
      </w:numPr>
      <w:wordWrap w:val="0"/>
      <w:overflowPunct w:val="0"/>
      <w:autoSpaceDE w:val="0"/>
      <w:spacing w:before="156" w:beforeLines="50" w:after="156" w:afterLines="50"/>
      <w:ind w:right="-50" w:rightChars="-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3">
    <w:name w:val="c前言标准编号"/>
    <w:basedOn w:val="1"/>
    <w:autoRedefine/>
    <w:qFormat/>
    <w:uiPriority w:val="0"/>
    <w:pPr>
      <w:spacing w:line="360" w:lineRule="atLeast"/>
    </w:pPr>
    <w:rPr>
      <w:rFonts w:eastAsia="黑体"/>
    </w:rPr>
  </w:style>
  <w:style w:type="paragraph" w:customStyle="1" w:styleId="84">
    <w:name w:val="标准文件_标准书眉_偶数页"/>
    <w:basedOn w:val="85"/>
    <w:next w:val="1"/>
    <w:autoRedefine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85">
    <w:name w:val="标准文件_标准书眉_奇数页"/>
    <w:next w:val="1"/>
    <w:autoRedefine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86">
    <w:name w:val="正文缩进1"/>
    <w:basedOn w:val="1"/>
    <w:autoRedefine/>
    <w:qFormat/>
    <w:uiPriority w:val="0"/>
    <w:pPr>
      <w:ind w:firstLine="420"/>
    </w:pPr>
  </w:style>
  <w:style w:type="paragraph" w:customStyle="1" w:styleId="87">
    <w:name w:val="标准标志"/>
    <w:next w:val="1"/>
    <w:autoRedefine/>
    <w:qFormat/>
    <w:uiPriority w:val="0"/>
    <w:pPr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88">
    <w:name w:val="标准文件_附录公式"/>
    <w:basedOn w:val="74"/>
    <w:next w:val="74"/>
    <w:autoRedefine/>
    <w:qFormat/>
    <w:uiPriority w:val="0"/>
    <w:pPr>
      <w:spacing w:line="276" w:lineRule="auto"/>
    </w:pPr>
    <w:rPr>
      <w:rFonts w:ascii="宋体"/>
    </w:rPr>
  </w:style>
  <w:style w:type="paragraph" w:customStyle="1" w:styleId="89">
    <w:name w:val="标准文件_封面标准分类号"/>
    <w:basedOn w:val="1"/>
    <w:autoRedefine/>
    <w:qFormat/>
    <w:uiPriority w:val="0"/>
    <w:rPr>
      <w:rFonts w:ascii="黑体" w:eastAsia="黑体"/>
      <w:kern w:val="0"/>
      <w:sz w:val="28"/>
    </w:rPr>
  </w:style>
  <w:style w:type="paragraph" w:customStyle="1" w:styleId="90">
    <w:name w:val="标准文件_封面标准英文名称"/>
    <w:basedOn w:val="1"/>
    <w:autoRedefine/>
    <w:qFormat/>
    <w:uiPriority w:val="0"/>
    <w:pPr>
      <w:spacing w:line="440" w:lineRule="exact"/>
      <w:jc w:val="center"/>
    </w:pPr>
    <w:rPr>
      <w:rFonts w:eastAsia="黑体"/>
      <w:b/>
      <w:sz w:val="28"/>
    </w:rPr>
  </w:style>
  <w:style w:type="paragraph" w:customStyle="1" w:styleId="91">
    <w:name w:val="无标题条"/>
    <w:next w:val="75"/>
    <w:autoRedefine/>
    <w:qFormat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2">
    <w:name w:val="前言标题"/>
    <w:next w:val="1"/>
    <w:autoRedefine/>
    <w:qFormat/>
    <w:uiPriority w:val="0"/>
    <w:pPr>
      <w:numPr>
        <w:ilvl w:val="0"/>
        <w:numId w:val="3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3">
    <w:name w:val="标准文件_一级条标题"/>
    <w:basedOn w:val="94"/>
    <w:next w:val="75"/>
    <w:autoRedefine/>
    <w:qFormat/>
    <w:uiPriority w:val="0"/>
    <w:pPr>
      <w:numPr>
        <w:ilvl w:val="2"/>
      </w:numPr>
      <w:outlineLvl w:val="2"/>
    </w:pPr>
  </w:style>
  <w:style w:type="paragraph" w:customStyle="1" w:styleId="94">
    <w:name w:val="标准文件_章标题"/>
    <w:next w:val="75"/>
    <w:autoRedefine/>
    <w:qFormat/>
    <w:uiPriority w:val="0"/>
    <w:pPr>
      <w:numPr>
        <w:ilvl w:val="1"/>
        <w:numId w:val="3"/>
      </w:numPr>
      <w:spacing w:before="156" w:beforeLines="50" w:after="156" w:afterLines="50"/>
      <w:ind w:left="993" w:right="-50" w:rightChars="-50"/>
      <w:jc w:val="both"/>
      <w:outlineLvl w:val="1"/>
    </w:pPr>
    <w:rPr>
      <w:rFonts w:ascii="黑体" w:hAnsi="Times New Roman" w:eastAsia="黑体" w:cs="Times New Roman"/>
      <w:spacing w:val="2"/>
      <w:sz w:val="21"/>
      <w:lang w:val="en-US" w:eastAsia="zh-CN" w:bidi="ar-SA"/>
    </w:rPr>
  </w:style>
  <w:style w:type="paragraph" w:customStyle="1" w:styleId="95">
    <w:name w:val="标准文件_封面发布日期"/>
    <w:basedOn w:val="1"/>
    <w:autoRedefine/>
    <w:qFormat/>
    <w:uiPriority w:val="0"/>
    <w:rPr>
      <w:rFonts w:ascii="黑体" w:eastAsia="黑体"/>
      <w:kern w:val="0"/>
      <w:sz w:val="28"/>
    </w:rPr>
  </w:style>
  <w:style w:type="paragraph" w:customStyle="1" w:styleId="96">
    <w:name w:val="封面标准文稿编辑信息"/>
    <w:autoRedefine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7">
    <w:name w:val="标准文件_示例后续"/>
    <w:basedOn w:val="1"/>
    <w:autoRedefine/>
    <w:qFormat/>
    <w:uiPriority w:val="0"/>
    <w:pPr>
      <w:adjustRightInd/>
      <w:spacing w:line="240" w:lineRule="auto"/>
      <w:ind w:left="-50" w:leftChars="-50" w:right="-50" w:rightChars="-50"/>
    </w:pPr>
    <w:rPr>
      <w:sz w:val="18"/>
      <w:szCs w:val="24"/>
    </w:rPr>
  </w:style>
  <w:style w:type="paragraph" w:customStyle="1" w:styleId="98">
    <w:name w:val="标准文件_标准代替"/>
    <w:basedOn w:val="1"/>
    <w:next w:val="1"/>
    <w:autoRedefine/>
    <w:qFormat/>
    <w:uiPriority w:val="0"/>
    <w:pPr>
      <w:jc w:val="right"/>
    </w:pPr>
    <w:rPr>
      <w:rFonts w:ascii="宋体"/>
      <w:kern w:val="0"/>
    </w:rPr>
  </w:style>
  <w:style w:type="paragraph" w:customStyle="1" w:styleId="99">
    <w:name w:val="图表目录1"/>
    <w:basedOn w:val="1"/>
    <w:next w:val="1"/>
    <w:autoRedefine/>
    <w:qFormat/>
    <w:uiPriority w:val="0"/>
    <w:pPr>
      <w:adjustRightInd/>
      <w:spacing w:line="240" w:lineRule="auto"/>
      <w:ind w:left="420" w:hanging="420"/>
      <w:jc w:val="left"/>
    </w:pPr>
    <w:rPr>
      <w:caps/>
      <w:szCs w:val="24"/>
    </w:rPr>
  </w:style>
  <w:style w:type="paragraph" w:customStyle="1" w:styleId="100">
    <w:name w:val="封面标准文稿类别"/>
    <w:autoRedefine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01">
    <w:name w:val="标准文件_四级条标题"/>
    <w:basedOn w:val="102"/>
    <w:next w:val="75"/>
    <w:autoRedefine/>
    <w:qFormat/>
    <w:uiPriority w:val="0"/>
    <w:pPr>
      <w:numPr>
        <w:ilvl w:val="5"/>
      </w:numPr>
      <w:outlineLvl w:val="5"/>
    </w:pPr>
  </w:style>
  <w:style w:type="paragraph" w:customStyle="1" w:styleId="102">
    <w:name w:val="标准文件_三级条标题"/>
    <w:basedOn w:val="103"/>
    <w:next w:val="75"/>
    <w:autoRedefine/>
    <w:qFormat/>
    <w:uiPriority w:val="0"/>
    <w:pPr>
      <w:numPr>
        <w:ilvl w:val="4"/>
      </w:numPr>
      <w:ind w:left="-50"/>
      <w:outlineLvl w:val="4"/>
    </w:pPr>
  </w:style>
  <w:style w:type="paragraph" w:customStyle="1" w:styleId="103">
    <w:name w:val="标准文件_二级条标题"/>
    <w:basedOn w:val="93"/>
    <w:next w:val="75"/>
    <w:autoRedefine/>
    <w:qFormat/>
    <w:uiPriority w:val="0"/>
    <w:pPr>
      <w:numPr>
        <w:ilvl w:val="3"/>
      </w:numPr>
      <w:outlineLvl w:val="3"/>
    </w:pPr>
  </w:style>
  <w:style w:type="paragraph" w:customStyle="1" w:styleId="104">
    <w:name w:val="标准文件_附录标识"/>
    <w:next w:val="20"/>
    <w:autoRedefine/>
    <w:qFormat/>
    <w:uiPriority w:val="0"/>
    <w:pPr>
      <w:numPr>
        <w:ilvl w:val="0"/>
        <w:numId w:val="2"/>
      </w:numPr>
      <w:shd w:val="clear" w:color="FFFFFF" w:fill="FFFFFF"/>
      <w:tabs>
        <w:tab w:val="left" w:pos="6405"/>
      </w:tabs>
      <w:spacing w:before="640" w:after="16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5">
    <w:name w:val="实施日期"/>
    <w:basedOn w:val="106"/>
    <w:qFormat/>
    <w:uiPriority w:val="0"/>
    <w:pPr>
      <w:jc w:val="right"/>
    </w:pPr>
  </w:style>
  <w:style w:type="paragraph" w:customStyle="1" w:styleId="106">
    <w:name w:val="发布日期"/>
    <w:autoRedefine/>
    <w:qFormat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07">
    <w:name w:val="标准文件_一致程度"/>
    <w:basedOn w:val="1"/>
    <w:autoRedefine/>
    <w:qFormat/>
    <w:uiPriority w:val="0"/>
    <w:pPr>
      <w:spacing w:line="440" w:lineRule="exact"/>
      <w:jc w:val="center"/>
    </w:pPr>
    <w:rPr>
      <w:sz w:val="28"/>
    </w:rPr>
  </w:style>
  <w:style w:type="paragraph" w:customStyle="1" w:styleId="108">
    <w:name w:val="封面标准名称"/>
    <w:autoRedefine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09">
    <w:name w:val="标准文件_封面实施日期"/>
    <w:basedOn w:val="1"/>
    <w:autoRedefine/>
    <w:qFormat/>
    <w:uiPriority w:val="0"/>
    <w:pPr>
      <w:jc w:val="right"/>
    </w:pPr>
    <w:rPr>
      <w:rFonts w:ascii="黑体" w:eastAsia="黑体"/>
      <w:sz w:val="28"/>
    </w:rPr>
  </w:style>
  <w:style w:type="paragraph" w:styleId="110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11">
    <w:name w:val="附录三级无标题条"/>
    <w:basedOn w:val="112"/>
    <w:next w:val="75"/>
    <w:autoRedefine/>
    <w:qFormat/>
    <w:uiPriority w:val="0"/>
    <w:pPr>
      <w:outlineLvl w:val="4"/>
    </w:pPr>
  </w:style>
  <w:style w:type="paragraph" w:customStyle="1" w:styleId="112">
    <w:name w:val="附录二级无标题条"/>
    <w:basedOn w:val="1"/>
    <w:next w:val="75"/>
    <w:autoRedefine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/>
      <w:kern w:val="21"/>
    </w:rPr>
  </w:style>
  <w:style w:type="paragraph" w:customStyle="1" w:styleId="113">
    <w:name w:val="标准文件_附录三级条标题"/>
    <w:basedOn w:val="80"/>
    <w:next w:val="75"/>
    <w:autoRedefine/>
    <w:qFormat/>
    <w:uiPriority w:val="0"/>
    <w:pPr>
      <w:outlineLvl w:val="4"/>
    </w:pPr>
  </w:style>
  <w:style w:type="paragraph" w:customStyle="1" w:styleId="114">
    <w:name w:val="标准文件_破折号列项"/>
    <w:autoRedefine/>
    <w:qFormat/>
    <w:uiPriority w:val="0"/>
    <w:pPr>
      <w:numPr>
        <w:ilvl w:val="0"/>
        <w:numId w:val="4"/>
      </w:numPr>
      <w:adjustRightInd w:val="0"/>
      <w:snapToGrid w:val="0"/>
      <w:spacing w:line="300" w:lineRule="exact"/>
      <w:ind w:left="350" w:leftChars="150" w:right="-50" w:rightChars="-50" w:hanging="200" w:hanging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15">
    <w:name w:val="封面标准号2"/>
    <w:basedOn w:val="116"/>
    <w:autoRedefine/>
    <w:qFormat/>
    <w:uiPriority w:val="0"/>
    <w:pPr>
      <w:adjustRightInd w:val="0"/>
      <w:spacing w:before="357" w:line="280" w:lineRule="exact"/>
    </w:pPr>
  </w:style>
  <w:style w:type="paragraph" w:customStyle="1" w:styleId="116">
    <w:name w:val="封面标准号1"/>
    <w:autoRedefine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17">
    <w:name w:val="标准文件_附录四级条标题"/>
    <w:basedOn w:val="113"/>
    <w:next w:val="75"/>
    <w:autoRedefine/>
    <w:qFormat/>
    <w:uiPriority w:val="0"/>
    <w:pPr>
      <w:outlineLvl w:val="5"/>
    </w:pPr>
  </w:style>
  <w:style w:type="paragraph" w:customStyle="1" w:styleId="118">
    <w:name w:val="标准书脚_偶数页"/>
    <w:autoRedefine/>
    <w:qFormat/>
    <w:uiPriority w:val="0"/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19">
    <w:name w:val="发布部门"/>
    <w:next w:val="75"/>
    <w:autoRedefine/>
    <w:qFormat/>
    <w:uiPriority w:val="0"/>
    <w:pPr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120">
    <w:name w:val="标准文件_破折号列项（二级）"/>
    <w:basedOn w:val="114"/>
    <w:autoRedefine/>
    <w:qFormat/>
    <w:uiPriority w:val="0"/>
    <w:pPr>
      <w:numPr>
        <w:numId w:val="5"/>
      </w:numPr>
      <w:ind w:left="550" w:leftChars="350" w:hanging="200"/>
    </w:pPr>
  </w:style>
  <w:style w:type="paragraph" w:customStyle="1" w:styleId="121">
    <w:name w:val="附录图"/>
    <w:next w:val="75"/>
    <w:autoRedefine/>
    <w:qFormat/>
    <w:uiPriority w:val="0"/>
    <w:pPr>
      <w:wordWrap w:val="0"/>
      <w:overflowPunct w:val="0"/>
      <w:autoSpaceDE w:val="0"/>
      <w:spacing w:before="156" w:beforeLines="50" w:after="156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22">
    <w:name w:val="标准文件_引言标题"/>
    <w:next w:val="1"/>
    <w:autoRedefine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3">
    <w:name w:val="条1"/>
    <w:basedOn w:val="1"/>
    <w:next w:val="78"/>
    <w:autoRedefine/>
    <w:qFormat/>
    <w:uiPriority w:val="0"/>
    <w:pPr>
      <w:numPr>
        <w:ilvl w:val="1"/>
        <w:numId w:val="1"/>
      </w:numPr>
      <w:adjustRightInd/>
      <w:spacing w:line="240" w:lineRule="auto"/>
      <w:outlineLvl w:val="1"/>
    </w:pPr>
    <w:rPr>
      <w:rFonts w:ascii="黑体" w:eastAsia="黑体"/>
      <w:kern w:val="21"/>
    </w:rPr>
  </w:style>
  <w:style w:type="paragraph" w:customStyle="1" w:styleId="124">
    <w:name w:val="标准文件_注："/>
    <w:next w:val="75"/>
    <w:autoRedefine/>
    <w:qFormat/>
    <w:uiPriority w:val="0"/>
    <w:pPr>
      <w:widowControl w:val="0"/>
      <w:numPr>
        <w:ilvl w:val="0"/>
        <w:numId w:val="6"/>
      </w:numPr>
      <w:autoSpaceDE w:val="0"/>
      <w:autoSpaceDN w:val="0"/>
      <w:spacing w:after="93" w:afterLines="30" w:line="300" w:lineRule="exact"/>
      <w:ind w:left="513" w:leftChars="150" w:right="-50" w:rightChars="-50" w:hanging="36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5">
    <w:name w:val="列项·"/>
    <w:autoRedefine/>
    <w:qFormat/>
    <w:uiPriority w:val="0"/>
    <w:pPr>
      <w:numPr>
        <w:ilvl w:val="0"/>
        <w:numId w:val="7"/>
      </w:numPr>
      <w:tabs>
        <w:tab w:val="left" w:pos="840"/>
        <w:tab w:val="clear" w:pos="11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6">
    <w:name w:val="标准文件_示例×："/>
    <w:next w:val="75"/>
    <w:autoRedefine/>
    <w:qFormat/>
    <w:uiPriority w:val="0"/>
    <w:pPr>
      <w:widowControl w:val="0"/>
      <w:tabs>
        <w:tab w:val="left" w:pos="630"/>
        <w:tab w:val="left" w:pos="900"/>
      </w:tabs>
      <w:autoSpaceDE w:val="0"/>
      <w:autoSpaceDN w:val="0"/>
      <w:spacing w:after="93" w:afterLines="30" w:line="300" w:lineRule="exact"/>
      <w:ind w:left="-50" w:leftChars="-50" w:right="-50" w:rightChars="-50" w:firstLine="425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7">
    <w:name w:val="章"/>
    <w:basedOn w:val="1"/>
    <w:next w:val="78"/>
    <w:autoRedefine/>
    <w:qFormat/>
    <w:uiPriority w:val="0"/>
    <w:pPr>
      <w:numPr>
        <w:ilvl w:val="0"/>
        <w:numId w:val="1"/>
      </w:numPr>
      <w:spacing w:before="160" w:after="160" w:line="240" w:lineRule="auto"/>
      <w:outlineLvl w:val="0"/>
    </w:pPr>
    <w:rPr>
      <w:rFonts w:ascii="黑体" w:eastAsia="黑体"/>
      <w:kern w:val="21"/>
    </w:rPr>
  </w:style>
  <w:style w:type="paragraph" w:customStyle="1" w:styleId="128">
    <w:name w:val="标准文件_封面标准编号"/>
    <w:basedOn w:val="1"/>
    <w:next w:val="98"/>
    <w:autoRedefine/>
    <w:qFormat/>
    <w:uiPriority w:val="0"/>
    <w:pPr>
      <w:ind w:left="-283" w:leftChars="-135"/>
      <w:jc w:val="right"/>
    </w:pPr>
    <w:rPr>
      <w:rFonts w:eastAsia="黑体"/>
      <w:b/>
      <w:kern w:val="0"/>
      <w:sz w:val="36"/>
    </w:rPr>
  </w:style>
  <w:style w:type="paragraph" w:customStyle="1" w:styleId="129">
    <w:name w:val="标准文件_目录标题"/>
    <w:basedOn w:val="1"/>
    <w:autoRedefine/>
    <w:qFormat/>
    <w:uiPriority w:val="0"/>
    <w:pPr>
      <w:spacing w:before="540" w:after="600"/>
      <w:jc w:val="center"/>
    </w:pPr>
    <w:rPr>
      <w:rFonts w:eastAsia="黑体"/>
      <w:sz w:val="32"/>
    </w:rPr>
  </w:style>
  <w:style w:type="paragraph" w:customStyle="1" w:styleId="130">
    <w:name w:val="五级无标题条"/>
    <w:basedOn w:val="1"/>
    <w:autoRedefine/>
    <w:qFormat/>
    <w:uiPriority w:val="0"/>
    <w:pPr>
      <w:numPr>
        <w:ilvl w:val="6"/>
        <w:numId w:val="8"/>
      </w:numPr>
      <w:adjustRightInd/>
    </w:pPr>
    <w:rPr>
      <w:szCs w:val="24"/>
    </w:rPr>
  </w:style>
  <w:style w:type="paragraph" w:customStyle="1" w:styleId="131">
    <w:name w:val="标准文件_条文脚注"/>
    <w:basedOn w:val="29"/>
    <w:autoRedefine/>
    <w:qFormat/>
    <w:uiPriority w:val="0"/>
    <w:pPr>
      <w:adjustRightInd w:val="0"/>
      <w:jc w:val="both"/>
    </w:pPr>
  </w:style>
  <w:style w:type="paragraph" w:customStyle="1" w:styleId="132">
    <w:name w:val="标准文件_ICS"/>
    <w:basedOn w:val="1"/>
    <w:autoRedefine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133">
    <w:name w:val="标准文件_字母编号列项"/>
    <w:autoRedefine/>
    <w:qFormat/>
    <w:uiPriority w:val="0"/>
    <w:pPr>
      <w:spacing w:line="300" w:lineRule="exact"/>
      <w:ind w:left="370" w:leftChars="170" w:right="-50" w:rightChars="-5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4">
    <w:name w:val="封面标准代替信息"/>
    <w:basedOn w:val="115"/>
    <w:autoRedefine/>
    <w:qFormat/>
    <w:uiPriority w:val="0"/>
    <w:pPr>
      <w:spacing w:before="57"/>
    </w:pPr>
    <w:rPr>
      <w:rFonts w:ascii="宋体"/>
      <w:sz w:val="21"/>
    </w:rPr>
  </w:style>
  <w:style w:type="paragraph" w:customStyle="1" w:styleId="135">
    <w:name w:val="附录五级无标题条"/>
    <w:basedOn w:val="136"/>
    <w:next w:val="75"/>
    <w:autoRedefine/>
    <w:qFormat/>
    <w:uiPriority w:val="0"/>
    <w:pPr>
      <w:outlineLvl w:val="6"/>
    </w:pPr>
  </w:style>
  <w:style w:type="paragraph" w:customStyle="1" w:styleId="136">
    <w:name w:val="附录四级无标题条"/>
    <w:basedOn w:val="111"/>
    <w:next w:val="75"/>
    <w:autoRedefine/>
    <w:qFormat/>
    <w:uiPriority w:val="0"/>
    <w:pPr>
      <w:outlineLvl w:val="5"/>
    </w:pPr>
  </w:style>
  <w:style w:type="paragraph" w:customStyle="1" w:styleId="137">
    <w:name w:val="标准书脚_奇数页"/>
    <w:autoRedefine/>
    <w:qFormat/>
    <w:uiPriority w:val="0"/>
    <w:pPr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38">
    <w:name w:val="列项——"/>
    <w:autoRedefine/>
    <w:qFormat/>
    <w:uiPriority w:val="0"/>
    <w:pPr>
      <w:widowControl w:val="0"/>
      <w:numPr>
        <w:ilvl w:val="0"/>
        <w:numId w:val="9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9">
    <w:name w:val="标准文件_目次、标准名称标题"/>
    <w:basedOn w:val="76"/>
    <w:next w:val="75"/>
    <w:autoRedefine/>
    <w:qFormat/>
    <w:uiPriority w:val="0"/>
    <w:pPr>
      <w:spacing w:before="540" w:after="600" w:line="460" w:lineRule="exact"/>
    </w:pPr>
    <w:rPr>
      <w:spacing w:val="0"/>
    </w:rPr>
  </w:style>
  <w:style w:type="paragraph" w:customStyle="1" w:styleId="140">
    <w:name w:val="标准文件_正文表标题"/>
    <w:next w:val="75"/>
    <w:autoRedefine/>
    <w:qFormat/>
    <w:uiPriority w:val="0"/>
    <w:pPr>
      <w:numPr>
        <w:ilvl w:val="0"/>
        <w:numId w:val="10"/>
      </w:numPr>
      <w:tabs>
        <w:tab w:val="left" w:pos="0"/>
      </w:tabs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1">
    <w:name w:val="标准文件_标准部门"/>
    <w:basedOn w:val="1"/>
    <w:next w:val="1"/>
    <w:autoRedefine/>
    <w:qFormat/>
    <w:uiPriority w:val="0"/>
    <w:pPr>
      <w:jc w:val="right"/>
    </w:pPr>
    <w:rPr>
      <w:rFonts w:ascii="黑体" w:eastAsia="黑体"/>
      <w:sz w:val="32"/>
    </w:rPr>
  </w:style>
  <w:style w:type="paragraph" w:customStyle="1" w:styleId="142">
    <w:name w:val="标准文件_注×："/>
    <w:next w:val="75"/>
    <w:autoRedefine/>
    <w:qFormat/>
    <w:uiPriority w:val="0"/>
    <w:pPr>
      <w:widowControl w:val="0"/>
      <w:numPr>
        <w:ilvl w:val="0"/>
        <w:numId w:val="11"/>
      </w:numPr>
      <w:tabs>
        <w:tab w:val="left" w:pos="525"/>
        <w:tab w:val="clear" w:pos="900"/>
      </w:tabs>
      <w:autoSpaceDE w:val="0"/>
      <w:autoSpaceDN w:val="0"/>
      <w:spacing w:after="93" w:afterLines="30" w:line="300" w:lineRule="exact"/>
      <w:ind w:left="649" w:leftChars="150" w:right="-50" w:rightChars="-50" w:hanging="499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3">
    <w:name w:val="标准文件_附录表标题"/>
    <w:next w:val="75"/>
    <w:autoRedefine/>
    <w:qFormat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4">
    <w:name w:val="附录图标题1"/>
    <w:next w:val="75"/>
    <w:autoRedefine/>
    <w:qFormat/>
    <w:uiPriority w:val="0"/>
    <w:pPr>
      <w:wordWrap w:val="0"/>
      <w:overflowPunct w:val="0"/>
      <w:autoSpaceDE w:val="0"/>
      <w:spacing w:before="156" w:beforeLines="50" w:after="156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5">
    <w:name w:val="目次、索引正文"/>
    <w:autoRedefine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6">
    <w:name w:val="一级无"/>
    <w:autoRedefine/>
    <w:qFormat/>
    <w:uiPriority w:val="0"/>
    <w:rPr>
      <w:rFonts w:ascii="宋体" w:hAnsi="Times New Roman" w:eastAsia="宋体" w:cs="Times New Roman"/>
      <w:lang w:val="en-US" w:eastAsia="zh-CN" w:bidi="ar-SA"/>
    </w:rPr>
  </w:style>
  <w:style w:type="paragraph" w:customStyle="1" w:styleId="147">
    <w:name w:val="三级无标题条"/>
    <w:basedOn w:val="1"/>
    <w:autoRedefine/>
    <w:qFormat/>
    <w:uiPriority w:val="0"/>
    <w:pPr>
      <w:numPr>
        <w:ilvl w:val="4"/>
        <w:numId w:val="8"/>
      </w:numPr>
      <w:adjustRightInd/>
    </w:pPr>
    <w:rPr>
      <w:szCs w:val="24"/>
    </w:rPr>
  </w:style>
  <w:style w:type="paragraph" w:customStyle="1" w:styleId="148">
    <w:name w:val="条5"/>
    <w:basedOn w:val="1"/>
    <w:next w:val="78"/>
    <w:autoRedefine/>
    <w:qFormat/>
    <w:uiPriority w:val="0"/>
    <w:pPr>
      <w:numPr>
        <w:ilvl w:val="5"/>
        <w:numId w:val="1"/>
      </w:numPr>
      <w:adjustRightInd/>
      <w:spacing w:line="240" w:lineRule="auto"/>
      <w:outlineLvl w:val="1"/>
    </w:pPr>
    <w:rPr>
      <w:rFonts w:ascii="黑体" w:eastAsia="黑体"/>
      <w:kern w:val="21"/>
    </w:rPr>
  </w:style>
  <w:style w:type="paragraph" w:customStyle="1" w:styleId="149">
    <w:name w:val="标准称谓"/>
    <w:next w:val="1"/>
    <w:autoRedefine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150">
    <w:name w:val="标准文件_图表脚注"/>
    <w:next w:val="1"/>
    <w:autoRedefine/>
    <w:qFormat/>
    <w:uiPriority w:val="0"/>
    <w:pPr>
      <w:tabs>
        <w:tab w:val="left" w:pos="210"/>
      </w:tabs>
      <w:spacing w:line="300" w:lineRule="exact"/>
      <w:ind w:left="280" w:leftChars="200" w:hanging="80" w:hangingChars="8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51">
    <w:name w:val="一级无标题条"/>
    <w:basedOn w:val="1"/>
    <w:autoRedefine/>
    <w:qFormat/>
    <w:uiPriority w:val="0"/>
    <w:pPr>
      <w:numPr>
        <w:ilvl w:val="2"/>
        <w:numId w:val="8"/>
      </w:numPr>
      <w:adjustRightInd/>
    </w:pPr>
    <w:rPr>
      <w:szCs w:val="24"/>
    </w:rPr>
  </w:style>
  <w:style w:type="paragraph" w:customStyle="1" w:styleId="152">
    <w:name w:val="封面标准英文名称"/>
    <w:autoRedefine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53">
    <w:name w:val="条2"/>
    <w:basedOn w:val="1"/>
    <w:next w:val="78"/>
    <w:autoRedefine/>
    <w:qFormat/>
    <w:uiPriority w:val="0"/>
    <w:pPr>
      <w:numPr>
        <w:ilvl w:val="2"/>
        <w:numId w:val="1"/>
      </w:numPr>
      <w:adjustRightInd/>
      <w:spacing w:line="240" w:lineRule="auto"/>
      <w:outlineLvl w:val="1"/>
    </w:pPr>
    <w:rPr>
      <w:rFonts w:ascii="黑体" w:eastAsia="黑体"/>
      <w:kern w:val="21"/>
    </w:rPr>
  </w:style>
  <w:style w:type="paragraph" w:customStyle="1" w:styleId="154">
    <w:name w:val="纯文本11"/>
    <w:basedOn w:val="1"/>
    <w:autoRedefine/>
    <w:qFormat/>
    <w:uiPriority w:val="0"/>
    <w:pPr>
      <w:adjustRightInd/>
      <w:spacing w:line="240" w:lineRule="auto"/>
    </w:pPr>
    <w:rPr>
      <w:rFonts w:ascii="宋体" w:hAnsi="Courier New" w:cs="Courier New"/>
      <w:szCs w:val="21"/>
    </w:rPr>
  </w:style>
  <w:style w:type="paragraph" w:customStyle="1" w:styleId="155">
    <w:name w:val="注:后续"/>
    <w:autoRedefine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56">
    <w:name w:val="附录性质"/>
    <w:basedOn w:val="1"/>
    <w:autoRedefine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57">
    <w:name w:val="二级无"/>
    <w:autoRedefine/>
    <w:qFormat/>
    <w:uiPriority w:val="0"/>
    <w:rPr>
      <w:rFonts w:ascii="宋体" w:hAnsi="Times New Roman" w:eastAsia="宋体" w:cs="Times New Roman"/>
      <w:lang w:val="en-US" w:eastAsia="zh-CN" w:bidi="ar-SA"/>
    </w:rPr>
  </w:style>
  <w:style w:type="paragraph" w:customStyle="1" w:styleId="158">
    <w:name w:val="标准文件_正文图标题"/>
    <w:next w:val="75"/>
    <w:autoRedefine/>
    <w:qFormat/>
    <w:uiPriority w:val="0"/>
    <w:pPr>
      <w:numPr>
        <w:ilvl w:val="0"/>
        <w:numId w:val="12"/>
      </w:numPr>
      <w:spacing w:before="78" w:beforeLines="25" w:after="156" w:afterLines="50" w:line="300" w:lineRule="auto"/>
      <w:jc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9">
    <w:name w:val="标准文件_五级条标题"/>
    <w:basedOn w:val="101"/>
    <w:next w:val="75"/>
    <w:autoRedefine/>
    <w:qFormat/>
    <w:uiPriority w:val="0"/>
    <w:pPr>
      <w:numPr>
        <w:ilvl w:val="6"/>
      </w:numPr>
      <w:outlineLvl w:val="6"/>
    </w:pPr>
  </w:style>
  <w:style w:type="paragraph" w:customStyle="1" w:styleId="160">
    <w:name w:val="附录一级无标题条"/>
    <w:basedOn w:val="82"/>
    <w:next w:val="75"/>
    <w:autoRedefine/>
    <w:qFormat/>
    <w:uiPriority w:val="0"/>
    <w:pPr>
      <w:numPr>
        <w:numId w:val="0"/>
      </w:numPr>
      <w:autoSpaceDN w:val="0"/>
      <w:outlineLvl w:val="2"/>
    </w:pPr>
    <w:rPr>
      <w:rFonts w:ascii="宋体" w:eastAsia="宋体"/>
    </w:rPr>
  </w:style>
  <w:style w:type="paragraph" w:customStyle="1" w:styleId="161">
    <w:name w:val="标准文件_附录图标题"/>
    <w:next w:val="75"/>
    <w:autoRedefine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62">
    <w:name w:val="_Style 160"/>
    <w:basedOn w:val="2"/>
    <w:next w:val="1"/>
    <w:autoRedefine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b/>
      <w:color w:val="365F91"/>
      <w:kern w:val="0"/>
      <w:sz w:val="28"/>
      <w:szCs w:val="28"/>
    </w:rPr>
  </w:style>
  <w:style w:type="paragraph" w:customStyle="1" w:styleId="163">
    <w:name w:val="标准文件_示例："/>
    <w:next w:val="75"/>
    <w:autoRedefine/>
    <w:qFormat/>
    <w:uiPriority w:val="0"/>
    <w:pPr>
      <w:numPr>
        <w:ilvl w:val="0"/>
        <w:numId w:val="13"/>
      </w:numPr>
      <w:tabs>
        <w:tab w:val="left" w:pos="861"/>
        <w:tab w:val="clear" w:pos="1095"/>
      </w:tabs>
      <w:spacing w:after="93" w:afterLines="30" w:line="300" w:lineRule="exact"/>
      <w:ind w:left="-50" w:leftChars="-50" w:right="-50" w:rightChars="-50" w:firstLine="425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64">
    <w:name w:val="tab"/>
    <w:basedOn w:val="1"/>
    <w:autoRedefine/>
    <w:qFormat/>
    <w:uiPriority w:val="0"/>
    <w:pPr>
      <w:widowControl/>
      <w:overflowPunct w:val="0"/>
      <w:autoSpaceDE w:val="0"/>
      <w:autoSpaceDN w:val="0"/>
      <w:snapToGrid w:val="0"/>
      <w:spacing w:line="288" w:lineRule="auto"/>
      <w:jc w:val="center"/>
    </w:pPr>
    <w:rPr>
      <w:spacing w:val="-10"/>
      <w:kern w:val="0"/>
      <w:sz w:val="24"/>
      <w:szCs w:val="24"/>
    </w:rPr>
  </w:style>
  <w:style w:type="paragraph" w:customStyle="1" w:styleId="165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66">
    <w:name w:val="封面一致性程度标识"/>
    <w:autoRedefine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67">
    <w:name w:val="注×:后续"/>
    <w:basedOn w:val="155"/>
    <w:autoRedefine/>
    <w:qFormat/>
    <w:uiPriority w:val="0"/>
    <w:pPr>
      <w:ind w:left="1406" w:leftChars="0" w:hanging="499" w:firstLineChars="0"/>
    </w:pPr>
  </w:style>
  <w:style w:type="paragraph" w:customStyle="1" w:styleId="168">
    <w:name w:val="封面正文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69">
    <w:name w:val="标准文件_参考文献、索引标题"/>
    <w:basedOn w:val="1"/>
    <w:next w:val="1"/>
    <w:autoRedefine/>
    <w:qFormat/>
    <w:uiPriority w:val="0"/>
    <w:pPr>
      <w:widowControl/>
      <w:shd w:val="clear" w:color="FFFFFF" w:fill="FFFFFF"/>
      <w:adjustRightInd/>
      <w:spacing w:before="540" w:after="180" w:line="240" w:lineRule="auto"/>
      <w:jc w:val="center"/>
      <w:outlineLvl w:val="0"/>
    </w:pPr>
    <w:rPr>
      <w:rFonts w:ascii="黑体" w:eastAsia="黑体"/>
      <w:spacing w:val="200"/>
      <w:kern w:val="0"/>
    </w:rPr>
  </w:style>
  <w:style w:type="paragraph" w:customStyle="1" w:styleId="170">
    <w:name w:val="标准文件_标准名称标题"/>
    <w:basedOn w:val="1"/>
    <w:next w:val="94"/>
    <w:autoRedefine/>
    <w:qFormat/>
    <w:uiPriority w:val="0"/>
    <w:pPr>
      <w:widowControl/>
      <w:shd w:val="clear" w:color="FFFFFF" w:fill="FFFFFF"/>
      <w:adjustRightInd/>
      <w:spacing w:before="640" w:after="100" w:line="400" w:lineRule="exact"/>
      <w:jc w:val="center"/>
      <w:outlineLvl w:val="0"/>
    </w:pPr>
    <w:rPr>
      <w:rFonts w:ascii="黑体" w:eastAsia="黑体"/>
      <w:kern w:val="0"/>
      <w:sz w:val="32"/>
    </w:rPr>
  </w:style>
  <w:style w:type="paragraph" w:customStyle="1" w:styleId="171">
    <w:name w:val="标准文件_封面标准名称"/>
    <w:basedOn w:val="1"/>
    <w:autoRedefine/>
    <w:qFormat/>
    <w:uiPriority w:val="0"/>
    <w:pPr>
      <w:spacing w:before="312" w:beforeLines="100" w:line="500" w:lineRule="exact"/>
      <w:jc w:val="center"/>
    </w:pPr>
    <w:rPr>
      <w:rFonts w:ascii="黑体" w:eastAsia="黑体"/>
      <w:kern w:val="0"/>
      <w:sz w:val="52"/>
    </w:rPr>
  </w:style>
  <w:style w:type="paragraph" w:customStyle="1" w:styleId="172">
    <w:name w:val="其他发布部门"/>
    <w:basedOn w:val="119"/>
    <w:autoRedefine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73">
    <w:name w:val="标准文件_附录五级条标题"/>
    <w:basedOn w:val="117"/>
    <w:next w:val="75"/>
    <w:autoRedefine/>
    <w:qFormat/>
    <w:uiPriority w:val="0"/>
    <w:pPr>
      <w:outlineLvl w:val="6"/>
    </w:pPr>
  </w:style>
  <w:style w:type="paragraph" w:customStyle="1" w:styleId="174">
    <w:name w:val="四级无标题条"/>
    <w:basedOn w:val="1"/>
    <w:autoRedefine/>
    <w:qFormat/>
    <w:uiPriority w:val="0"/>
    <w:pPr>
      <w:numPr>
        <w:ilvl w:val="5"/>
        <w:numId w:val="8"/>
      </w:numPr>
      <w:adjustRightInd/>
    </w:pPr>
    <w:rPr>
      <w:szCs w:val="24"/>
    </w:rPr>
  </w:style>
  <w:style w:type="paragraph" w:customStyle="1" w:styleId="175">
    <w:name w:val="标准文件_数字编号列项"/>
    <w:autoRedefine/>
    <w:qFormat/>
    <w:uiPriority w:val="0"/>
    <w:pPr>
      <w:ind w:left="550" w:leftChars="350" w:right="-50" w:rightChars="-5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6">
    <w:name w:val="标准文件_正文公式"/>
    <w:basedOn w:val="1"/>
    <w:next w:val="74"/>
    <w:autoRedefine/>
    <w:qFormat/>
    <w:uiPriority w:val="0"/>
    <w:pPr>
      <w:tabs>
        <w:tab w:val="right" w:leader="dot" w:pos="0"/>
      </w:tabs>
      <w:spacing w:before="156" w:beforeLines="50" w:after="156" w:afterLines="50" w:line="300" w:lineRule="auto"/>
      <w:jc w:val="right"/>
    </w:pPr>
    <w:rPr>
      <w:sz w:val="24"/>
      <w:szCs w:val="24"/>
    </w:rPr>
  </w:style>
  <w:style w:type="paragraph" w:customStyle="1" w:styleId="177">
    <w:name w:val="二级无标题条"/>
    <w:basedOn w:val="1"/>
    <w:autoRedefine/>
    <w:qFormat/>
    <w:uiPriority w:val="0"/>
    <w:pPr>
      <w:numPr>
        <w:ilvl w:val="3"/>
        <w:numId w:val="8"/>
      </w:numPr>
      <w:adjustRightInd/>
    </w:pPr>
    <w:rPr>
      <w:szCs w:val="24"/>
    </w:rPr>
  </w:style>
  <w:style w:type="paragraph" w:customStyle="1" w:styleId="178">
    <w:name w:val="文献分类号"/>
    <w:autoRedefine/>
    <w:qFormat/>
    <w:uiPriority w:val="0"/>
    <w:pPr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table" w:customStyle="1" w:styleId="179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Theme="minorHAnsi" w:hAnsiTheme="minorHAnsi" w:eastAsiaTheme="minorEastAsia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0">
    <w:name w:val="Table Paragraph"/>
    <w:basedOn w:val="1"/>
    <w:qFormat/>
    <w:uiPriority w:val="1"/>
    <w:pPr>
      <w:autoSpaceDE w:val="0"/>
      <w:autoSpaceDN w:val="0"/>
      <w:adjustRightInd/>
      <w:spacing w:line="240" w:lineRule="auto"/>
      <w:jc w:val="left"/>
    </w:pPr>
    <w:rPr>
      <w:rFonts w:ascii="宋体" w:hAnsi="宋体" w:cs="宋体"/>
      <w:kern w:val="0"/>
      <w:sz w:val="22"/>
      <w:szCs w:val="22"/>
      <w:lang w:eastAsia="zh-TW"/>
    </w:rPr>
  </w:style>
  <w:style w:type="character" w:styleId="181">
    <w:name w:val="Placeholder Text"/>
    <w:basedOn w:val="3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3" Type="http://schemas.openxmlformats.org/officeDocument/2006/relationships/fontTable" Target="fontTable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oleObject" Target="embeddings/oleObject17.bin"/><Relationship Id="rId5" Type="http://schemas.openxmlformats.org/officeDocument/2006/relationships/header" Target="header1.xml"/><Relationship Id="rId49" Type="http://schemas.openxmlformats.org/officeDocument/2006/relationships/oleObject" Target="embeddings/oleObject16.bin"/><Relationship Id="rId48" Type="http://schemas.openxmlformats.org/officeDocument/2006/relationships/image" Target="media/image14.wmf"/><Relationship Id="rId47" Type="http://schemas.openxmlformats.org/officeDocument/2006/relationships/oleObject" Target="embeddings/oleObject15.bin"/><Relationship Id="rId46" Type="http://schemas.openxmlformats.org/officeDocument/2006/relationships/image" Target="media/image13.wmf"/><Relationship Id="rId45" Type="http://schemas.openxmlformats.org/officeDocument/2006/relationships/oleObject" Target="embeddings/oleObject14.bin"/><Relationship Id="rId44" Type="http://schemas.openxmlformats.org/officeDocument/2006/relationships/image" Target="media/image12.wmf"/><Relationship Id="rId43" Type="http://schemas.openxmlformats.org/officeDocument/2006/relationships/oleObject" Target="embeddings/oleObject13.bin"/><Relationship Id="rId42" Type="http://schemas.openxmlformats.org/officeDocument/2006/relationships/image" Target="media/image11.wmf"/><Relationship Id="rId41" Type="http://schemas.openxmlformats.org/officeDocument/2006/relationships/oleObject" Target="embeddings/oleObject12.bin"/><Relationship Id="rId40" Type="http://schemas.openxmlformats.org/officeDocument/2006/relationships/oleObject" Target="embeddings/oleObject11.bin"/><Relationship Id="rId4" Type="http://schemas.openxmlformats.org/officeDocument/2006/relationships/endnotes" Target="endnotes.xml"/><Relationship Id="rId39" Type="http://schemas.openxmlformats.org/officeDocument/2006/relationships/oleObject" Target="embeddings/oleObject10.bin"/><Relationship Id="rId38" Type="http://schemas.openxmlformats.org/officeDocument/2006/relationships/image" Target="media/image10.wmf"/><Relationship Id="rId37" Type="http://schemas.openxmlformats.org/officeDocument/2006/relationships/oleObject" Target="embeddings/oleObject9.bin"/><Relationship Id="rId36" Type="http://schemas.openxmlformats.org/officeDocument/2006/relationships/oleObject" Target="embeddings/oleObject8.bin"/><Relationship Id="rId35" Type="http://schemas.openxmlformats.org/officeDocument/2006/relationships/oleObject" Target="embeddings/oleObject7.bin"/><Relationship Id="rId34" Type="http://schemas.openxmlformats.org/officeDocument/2006/relationships/image" Target="media/image9.wmf"/><Relationship Id="rId33" Type="http://schemas.openxmlformats.org/officeDocument/2006/relationships/oleObject" Target="embeddings/oleObject6.bin"/><Relationship Id="rId32" Type="http://schemas.openxmlformats.org/officeDocument/2006/relationships/image" Target="media/image8.wmf"/><Relationship Id="rId31" Type="http://schemas.openxmlformats.org/officeDocument/2006/relationships/oleObject" Target="embeddings/oleObject5.bin"/><Relationship Id="rId30" Type="http://schemas.openxmlformats.org/officeDocument/2006/relationships/image" Target="media/image7.wmf"/><Relationship Id="rId3" Type="http://schemas.openxmlformats.org/officeDocument/2006/relationships/footnotes" Target="footnotes.xml"/><Relationship Id="rId29" Type="http://schemas.openxmlformats.org/officeDocument/2006/relationships/oleObject" Target="embeddings/oleObject4.bin"/><Relationship Id="rId28" Type="http://schemas.openxmlformats.org/officeDocument/2006/relationships/image" Target="media/image6.wmf"/><Relationship Id="rId27" Type="http://schemas.openxmlformats.org/officeDocument/2006/relationships/oleObject" Target="embeddings/oleObject3.bin"/><Relationship Id="rId26" Type="http://schemas.openxmlformats.org/officeDocument/2006/relationships/image" Target="media/image5.wmf"/><Relationship Id="rId25" Type="http://schemas.openxmlformats.org/officeDocument/2006/relationships/oleObject" Target="embeddings/oleObject2.bin"/><Relationship Id="rId24" Type="http://schemas.openxmlformats.org/officeDocument/2006/relationships/image" Target="media/image4.png"/><Relationship Id="rId23" Type="http://schemas.openxmlformats.org/officeDocument/2006/relationships/image" Target="media/image3.wmf"/><Relationship Id="rId22" Type="http://schemas.openxmlformats.org/officeDocument/2006/relationships/image" Target="media/image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.jpeg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6.xml"/><Relationship Id="rId17" Type="http://schemas.openxmlformats.org/officeDocument/2006/relationships/header" Target="header8.xml"/><Relationship Id="rId16" Type="http://schemas.openxmlformats.org/officeDocument/2006/relationships/footer" Target="footer5.xml"/><Relationship Id="rId15" Type="http://schemas.openxmlformats.org/officeDocument/2006/relationships/footer" Target="footer4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  <customShpInfo spid="_x0000_s110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1314</Words>
  <Characters>7496</Characters>
  <Lines>62</Lines>
  <Paragraphs>17</Paragraphs>
  <TotalTime>750</TotalTime>
  <ScaleCrop>false</ScaleCrop>
  <LinksUpToDate>false</LinksUpToDate>
  <CharactersWithSpaces>8793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2021-11-05T01:44:00Z</dcterms:created>
  <dc:creator>Administrator</dc:creator>
  <cp:lastModifiedBy>Administrator</cp:lastModifiedBy>
  <cp:lastPrinted>2021-11-05T01:10:00Z</cp:lastPrinted>
  <dcterms:modified xsi:type="dcterms:W3CDTF">2026-03-13T08:34:21Z</dcterms:modified>
  <dc:title> 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密级">
    <vt:r8>0</vt:r8>
  </property>
  <property fmtid="{D5CDD505-2E9C-101B-9397-08002B2CF9AE}" pid="3" name="分类号">
    <vt:lpwstr>0000</vt:lpwstr>
  </property>
  <property fmtid="{D5CDD505-2E9C-101B-9397-08002B2CF9AE}" pid="4" name="类型">
    <vt:lpwstr>GJB</vt:lpwstr>
  </property>
  <property fmtid="{D5CDD505-2E9C-101B-9397-08002B2CF9AE}" pid="5" name="编号1">
    <vt:lpwstr>××××</vt:lpwstr>
  </property>
  <property fmtid="{D5CDD505-2E9C-101B-9397-08002B2CF9AE}" pid="6" name="编号2">
    <vt:lpwstr>××××</vt:lpwstr>
  </property>
  <property fmtid="{D5CDD505-2E9C-101B-9397-08002B2CF9AE}" pid="7" name="中文名称">
    <vt:lpwstr>频率标准的远程校准规范</vt:lpwstr>
  </property>
  <property fmtid="{D5CDD505-2E9C-101B-9397-08002B2CF9AE}" pid="8" name="英文名称">
    <vt:lpwstr>Calibration specification for frequency standards _x000d_
by long distance frequency measurement_x000d_
</vt:lpwstr>
  </property>
  <property fmtid="{D5CDD505-2E9C-101B-9397-08002B2CF9AE}" pid="9" name="稿件">
    <vt:r8>3</vt:r8>
  </property>
  <property fmtid="{D5CDD505-2E9C-101B-9397-08002B2CF9AE}" pid="10" name="发布年份">
    <vt:lpwstr>200</vt:lpwstr>
  </property>
  <property fmtid="{D5CDD505-2E9C-101B-9397-08002B2CF9AE}" pid="11" name="实施年份">
    <vt:lpwstr>200</vt:lpwstr>
  </property>
  <property fmtid="{D5CDD505-2E9C-101B-9397-08002B2CF9AE}" pid="12" name="部门">
    <vt:lpwstr>国防科学技术工业委员会</vt:lpwstr>
  </property>
  <property fmtid="{D5CDD505-2E9C-101B-9397-08002B2CF9AE}" pid="13" name="是否有索引项">
    <vt:lpwstr>否</vt:lpwstr>
  </property>
  <property fmtid="{D5CDD505-2E9C-101B-9397-08002B2CF9AE}" pid="14" name="KSOProductBuildVer">
    <vt:lpwstr>2052-12.8.2.18606</vt:lpwstr>
  </property>
  <property fmtid="{D5CDD505-2E9C-101B-9397-08002B2CF9AE}" pid="15" name="ICV">
    <vt:lpwstr>A39AE745BE924FC4A32540D230F0A381_13</vt:lpwstr>
  </property>
  <property fmtid="{D5CDD505-2E9C-101B-9397-08002B2CF9AE}" pid="16" name="commondata">
    <vt:lpwstr>eyJoZGlkIjoiMTdkMzA4YjFlMWZkM2E3ZjAyNzUzNzc0NGE3YjIwYTAifQ==</vt:lpwstr>
  </property>
  <property fmtid="{D5CDD505-2E9C-101B-9397-08002B2CF9AE}" pid="17" name="KSOTemplateDocerSaveRecord">
    <vt:lpwstr>eyJoZGlkIjoiMTBjZTIzZjA1MTY2YWZjMzgwYjA4MjBhMWY3ZDJkODgiLCJ1c2VySWQiOiI3NTcwMTQ2NjcifQ==</vt:lpwstr>
  </property>
</Properties>
</file>